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424B6" w14:textId="66AD323A" w:rsidR="0027136F" w:rsidRDefault="0027136F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D6CBA28" wp14:editId="34D3CF4D">
            <wp:extent cx="3528370" cy="126174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752" cy="126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5F5B3" w14:textId="77777777" w:rsidR="0027136F" w:rsidRDefault="0027136F">
      <w:pPr>
        <w:rPr>
          <w:b/>
          <w:bCs/>
        </w:rPr>
      </w:pPr>
    </w:p>
    <w:p w14:paraId="74858BC5" w14:textId="0A92D4CA" w:rsidR="0027136F" w:rsidRDefault="00780740">
      <w:pPr>
        <w:rPr>
          <w:b/>
          <w:bCs/>
        </w:rPr>
      </w:pPr>
      <w:r>
        <w:rPr>
          <w:noProof/>
        </w:rPr>
        <w:drawing>
          <wp:inline distT="0" distB="0" distL="0" distR="0" wp14:anchorId="54C56763" wp14:editId="092E8CCD">
            <wp:extent cx="9071610" cy="2962910"/>
            <wp:effectExtent l="0" t="0" r="0" b="8890"/>
            <wp:docPr id="8" name="Immagine 8" descr="Mappare e migliorare l’economia dei dati per i sistemi aliment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pare e migliorare l’economia dei dati per i sistemi alimentar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EACC3" w14:textId="77777777" w:rsidR="00780740" w:rsidRDefault="00780740">
      <w:pPr>
        <w:rPr>
          <w:b/>
          <w:bCs/>
        </w:rPr>
      </w:pPr>
    </w:p>
    <w:p w14:paraId="08F6FD5C" w14:textId="4D214D45" w:rsidR="00780740" w:rsidRPr="00780740" w:rsidRDefault="00780740" w:rsidP="00780740">
      <w:pPr>
        <w:jc w:val="right"/>
        <w:rPr>
          <w:b/>
          <w:bCs/>
          <w:i/>
          <w:iCs/>
          <w:color w:val="FF0000"/>
          <w:sz w:val="56"/>
          <w:szCs w:val="56"/>
        </w:rPr>
      </w:pPr>
      <w:r w:rsidRPr="00780740">
        <w:rPr>
          <w:b/>
          <w:bCs/>
          <w:i/>
          <w:iCs/>
          <w:color w:val="FF0000"/>
          <w:sz w:val="56"/>
          <w:szCs w:val="56"/>
        </w:rPr>
        <w:t>Analisi dell’economia provinciale</w:t>
      </w:r>
    </w:p>
    <w:p w14:paraId="0916ECC8" w14:textId="339909EA" w:rsidR="00780740" w:rsidRDefault="00780740">
      <w:pPr>
        <w:rPr>
          <w:b/>
          <w:bCs/>
        </w:rPr>
      </w:pPr>
    </w:p>
    <w:p w14:paraId="111E2104" w14:textId="11FED7B7" w:rsidR="006E33C8" w:rsidRPr="006E33C8" w:rsidRDefault="006E33C8" w:rsidP="006E33C8">
      <w:pPr>
        <w:jc w:val="right"/>
        <w:rPr>
          <w:b/>
          <w:bCs/>
          <w:i/>
          <w:iCs/>
          <w:color w:val="808080" w:themeColor="background1" w:themeShade="80"/>
          <w:sz w:val="28"/>
          <w:szCs w:val="28"/>
        </w:rPr>
      </w:pPr>
      <w:r w:rsidRPr="006E33C8">
        <w:rPr>
          <w:b/>
          <w:bCs/>
          <w:i/>
          <w:iCs/>
          <w:color w:val="808080" w:themeColor="background1" w:themeShade="80"/>
          <w:sz w:val="28"/>
          <w:szCs w:val="28"/>
        </w:rPr>
        <w:t>Conferenza Stampa del 21 dicembre 2021</w:t>
      </w:r>
    </w:p>
    <w:p w14:paraId="25F57141" w14:textId="4F866117" w:rsidR="0027136F" w:rsidRDefault="0027136F">
      <w:pPr>
        <w:rPr>
          <w:b/>
          <w:bCs/>
        </w:rPr>
      </w:pPr>
      <w:r>
        <w:rPr>
          <w:b/>
          <w:bCs/>
        </w:rPr>
        <w:br w:type="page"/>
      </w:r>
    </w:p>
    <w:p w14:paraId="05746BE8" w14:textId="37BBC4C1" w:rsidR="00F909FF" w:rsidRPr="00F909FF" w:rsidRDefault="00F909FF">
      <w:pPr>
        <w:rPr>
          <w:b/>
          <w:bCs/>
        </w:rPr>
      </w:pPr>
      <w:r w:rsidRPr="00F909FF">
        <w:rPr>
          <w:b/>
          <w:bCs/>
        </w:rPr>
        <w:lastRenderedPageBreak/>
        <w:t>Dati ISTAT provinciali su</w:t>
      </w:r>
      <w:r w:rsidR="00D13435">
        <w:rPr>
          <w:b/>
          <w:bCs/>
        </w:rPr>
        <w:t xml:space="preserve"> occupati</w:t>
      </w:r>
      <w:r w:rsidR="007C4F51">
        <w:rPr>
          <w:b/>
          <w:bCs/>
        </w:rPr>
        <w:t xml:space="preserve">, </w:t>
      </w:r>
      <w:r w:rsidR="00D13435">
        <w:rPr>
          <w:b/>
          <w:bCs/>
        </w:rPr>
        <w:t>forze lavoro</w:t>
      </w:r>
      <w:r w:rsidR="007C4F51">
        <w:rPr>
          <w:b/>
          <w:bCs/>
        </w:rPr>
        <w:t xml:space="preserve">, posizione lavorativa e </w:t>
      </w:r>
      <w:r w:rsidR="00D13435">
        <w:rPr>
          <w:b/>
          <w:bCs/>
        </w:rPr>
        <w:t>demografia generale</w:t>
      </w:r>
      <w:r w:rsidRPr="00F909FF">
        <w:rPr>
          <w:b/>
          <w:bCs/>
        </w:rPr>
        <w:t xml:space="preserve"> </w:t>
      </w:r>
    </w:p>
    <w:p w14:paraId="65E8B5AB" w14:textId="77777777" w:rsidR="00F909FF" w:rsidRDefault="00F909FF"/>
    <w:tbl>
      <w:tblPr>
        <w:tblpPr w:leftFromText="141" w:rightFromText="141" w:vertAnchor="text" w:horzAnchor="margin" w:tblpY="-384"/>
        <w:tblW w:w="8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"/>
        <w:gridCol w:w="1114"/>
        <w:gridCol w:w="933"/>
        <w:gridCol w:w="1194"/>
        <w:gridCol w:w="850"/>
        <w:gridCol w:w="851"/>
        <w:gridCol w:w="1275"/>
        <w:gridCol w:w="1276"/>
      </w:tblGrid>
      <w:tr w:rsidR="009E59DD" w:rsidRPr="00000F91" w14:paraId="1C060E05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ACF5" w14:textId="77777777" w:rsidR="009E59DD" w:rsidRPr="00000F91" w:rsidRDefault="009E59DD" w:rsidP="009E5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07BF" w14:textId="77777777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Forze Lavoro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14EF" w14:textId="77777777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Occupati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F9E7" w14:textId="77777777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Disoccupati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EE08" w14:textId="51C5E69C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Di</w:t>
            </w:r>
            <w:r w:rsidR="00177AE2">
              <w:rPr>
                <w:rFonts w:ascii="Calibri" w:eastAsia="Times New Roman" w:hAnsi="Calibri" w:cs="Calibri"/>
                <w:color w:val="000000"/>
                <w:lang w:eastAsia="it-IT"/>
              </w:rPr>
              <w:t>p</w:t>
            </w:r>
            <w:proofErr w:type="spellEnd"/>
            <w:r w:rsidR="00177AE2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7DF3" w14:textId="10D92D9C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Indi</w:t>
            </w:r>
            <w:r w:rsidR="00177AE2">
              <w:rPr>
                <w:rFonts w:ascii="Calibri" w:eastAsia="Times New Roman" w:hAnsi="Calibri" w:cs="Calibri"/>
                <w:color w:val="000000"/>
                <w:lang w:eastAsia="it-IT"/>
              </w:rPr>
              <w:t>p</w:t>
            </w:r>
            <w:proofErr w:type="spellEnd"/>
            <w:r w:rsidR="00177AE2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B355" w14:textId="77777777" w:rsidR="009E59DD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Popolazione </w:t>
            </w:r>
          </w:p>
          <w:p w14:paraId="591ABED6" w14:textId="77777777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15-64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F45A" w14:textId="77777777" w:rsidR="009E59DD" w:rsidRPr="00000F91" w:rsidRDefault="009E59DD" w:rsidP="009E59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Popolazione Totale</w:t>
            </w:r>
          </w:p>
        </w:tc>
      </w:tr>
      <w:tr w:rsidR="009E59DD" w:rsidRPr="00000F91" w14:paraId="190692FA" w14:textId="77777777" w:rsidTr="00177AE2">
        <w:trPr>
          <w:trHeight w:val="44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89E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D2E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06E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03B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37C4CE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9E3AB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E61C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FCF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279</w:t>
            </w:r>
          </w:p>
        </w:tc>
      </w:tr>
      <w:tr w:rsidR="009E59DD" w:rsidRPr="00000F91" w14:paraId="5B31FF63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4A1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93A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16B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CC1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651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3D2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509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7C4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281</w:t>
            </w:r>
          </w:p>
        </w:tc>
      </w:tr>
      <w:tr w:rsidR="009E59DD" w:rsidRPr="00000F91" w14:paraId="7DE10FA4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6C2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0EC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75A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AE2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4259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3C1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329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DA5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282</w:t>
            </w:r>
          </w:p>
        </w:tc>
      </w:tr>
      <w:tr w:rsidR="009E59DD" w:rsidRPr="00000F91" w14:paraId="65A8DFD3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0BF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4F6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0125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3B7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5C8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04A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463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EC99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283</w:t>
            </w:r>
          </w:p>
        </w:tc>
      </w:tr>
      <w:tr w:rsidR="009E59DD" w:rsidRPr="00000F91" w14:paraId="40546773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9B6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EB5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120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BE3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8B8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15A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90A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898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C95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285</w:t>
            </w:r>
          </w:p>
        </w:tc>
      </w:tr>
      <w:tr w:rsidR="009E59DD" w:rsidRPr="00000F91" w14:paraId="6FD0109D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173E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2009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97550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122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9A6DD8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18CF7B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8191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6AF7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0763F9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72A27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286</w:t>
            </w:r>
          </w:p>
        </w:tc>
      </w:tr>
      <w:tr w:rsidR="009E59DD" w:rsidRPr="00000F91" w14:paraId="26D231A1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4AB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1866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010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45E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93E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DF1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56EC36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54B5A4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287</w:t>
            </w:r>
          </w:p>
        </w:tc>
      </w:tr>
      <w:tr w:rsidR="009E59DD" w:rsidRPr="00000F91" w14:paraId="065D1337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A1F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53B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AA6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6B0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C0926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C376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62325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3362A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287</w:t>
            </w:r>
          </w:p>
        </w:tc>
      </w:tr>
      <w:tr w:rsidR="009E59DD" w:rsidRPr="00000F91" w14:paraId="51B3ACDA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6D75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B41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AD6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2AF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3A6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2D8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99C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96E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280</w:t>
            </w:r>
          </w:p>
        </w:tc>
      </w:tr>
      <w:tr w:rsidR="009E59DD" w:rsidRPr="00000F91" w14:paraId="355659D4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02F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449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489C31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40E6E0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0A5A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51E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F62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9A2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280</w:t>
            </w:r>
          </w:p>
        </w:tc>
      </w:tr>
      <w:tr w:rsidR="009E59DD" w:rsidRPr="00000F91" w14:paraId="16BFC0F2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F28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2C8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E40C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733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5CD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BD66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45D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9AC1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283</w:t>
            </w:r>
          </w:p>
        </w:tc>
      </w:tr>
      <w:tr w:rsidR="009E59DD" w:rsidRPr="00000F91" w14:paraId="2077DFDE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CDC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C25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0BB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9D2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EA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519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9F3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0C9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282</w:t>
            </w:r>
          </w:p>
        </w:tc>
      </w:tr>
      <w:tr w:rsidR="009E59DD" w:rsidRPr="00000F91" w14:paraId="6456ABDD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12C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236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60E7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234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0C6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882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9F0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84A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280</w:t>
            </w:r>
          </w:p>
        </w:tc>
      </w:tr>
      <w:tr w:rsidR="009E59DD" w:rsidRPr="00000F91" w14:paraId="32497A2F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30E6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CBC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39F8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34B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4A8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65D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2E3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D67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279</w:t>
            </w:r>
          </w:p>
        </w:tc>
      </w:tr>
      <w:tr w:rsidR="009E59DD" w:rsidRPr="00000F91" w14:paraId="356B778D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321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1906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BE9D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7928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D17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A013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AF74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B19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277</w:t>
            </w:r>
          </w:p>
        </w:tc>
      </w:tr>
      <w:tr w:rsidR="009E59DD" w:rsidRPr="00000F91" w14:paraId="76A32551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39CE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48F0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7DF7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0740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A60F25C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43E92F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8B3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05D2B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273</w:t>
            </w:r>
          </w:p>
        </w:tc>
      </w:tr>
      <w:tr w:rsidR="009E59DD" w:rsidRPr="00000F91" w14:paraId="39CA8657" w14:textId="77777777" w:rsidTr="00177AE2">
        <w:trPr>
          <w:trHeight w:val="448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8770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2020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FE7CCF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113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AB02F7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106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10D2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4164A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F219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16F5B0F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38052E35" w14:textId="77777777" w:rsidR="009E59DD" w:rsidRPr="00000F91" w:rsidRDefault="009E59DD" w:rsidP="009E59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000F91">
              <w:rPr>
                <w:rFonts w:ascii="Calibri" w:eastAsia="Times New Roman" w:hAnsi="Calibri" w:cs="Calibri"/>
                <w:color w:val="000000"/>
                <w:lang w:eastAsia="it-IT"/>
              </w:rPr>
              <w:t>271</w:t>
            </w:r>
          </w:p>
        </w:tc>
      </w:tr>
    </w:tbl>
    <w:p w14:paraId="09BE2756" w14:textId="66E0CDE6" w:rsidR="00365F0A" w:rsidRDefault="00620EE6" w:rsidP="00F909FF">
      <w:pPr>
        <w:jc w:val="both"/>
      </w:pPr>
      <w:r>
        <w:t xml:space="preserve">Gli effetti della </w:t>
      </w:r>
      <w:r w:rsidR="009E59DD">
        <w:t xml:space="preserve">pandemia </w:t>
      </w:r>
      <w:r>
        <w:t xml:space="preserve">sull’occupazione provinciale del 2020 sono particolarmente evidenti, con una contrazione di addetti nelle micro e piccole aziende e, nelle grandi aziende, </w:t>
      </w:r>
      <w:r w:rsidR="00DC3F43">
        <w:t xml:space="preserve">con </w:t>
      </w:r>
      <w:r>
        <w:t>il mancato rinnovo di posizioni lavorative a tempo determinato o interinali. I dati, molto provvisori del 2021</w:t>
      </w:r>
      <w:r w:rsidR="00DC3F43">
        <w:t xml:space="preserve"> sembrano evidenziare che parte dei posti di lavoro, in particolare nell’industria, sono stati recuperati. </w:t>
      </w:r>
      <w:r>
        <w:t xml:space="preserve">Al contrario, nelle micro e piccole imprese del commercio e del turismo, </w:t>
      </w:r>
      <w:r w:rsidR="00DC3F43">
        <w:t xml:space="preserve">quelle </w:t>
      </w:r>
      <w:r>
        <w:t>che non hanno retto</w:t>
      </w:r>
      <w:r w:rsidR="00DC3F43">
        <w:t xml:space="preserve"> chiusure e indebitamento</w:t>
      </w:r>
      <w:r>
        <w:t xml:space="preserve">, o che stanno stentando a riprendersi dal drastico calo dei consumi non alimentari, </w:t>
      </w:r>
      <w:r w:rsidR="00DC3F43">
        <w:t xml:space="preserve">i </w:t>
      </w:r>
      <w:r>
        <w:t xml:space="preserve">posti di lavoro </w:t>
      </w:r>
      <w:r w:rsidR="00DC3F43">
        <w:t>non sembrano “rimbalzare” allo stesso modo</w:t>
      </w:r>
      <w:r>
        <w:t xml:space="preserve">. </w:t>
      </w:r>
      <w:r w:rsidR="00D13435">
        <w:t xml:space="preserve">Il fatto che </w:t>
      </w:r>
      <w:r w:rsidR="00DC3F43">
        <w:t xml:space="preserve">nel 2020 </w:t>
      </w:r>
      <w:r w:rsidR="00D13435">
        <w:t xml:space="preserve">non siano calati gli </w:t>
      </w:r>
      <w:r w:rsidR="00DC3F43">
        <w:t>“</w:t>
      </w:r>
      <w:r w:rsidR="00D13435">
        <w:t>indipendenti</w:t>
      </w:r>
      <w:r w:rsidR="00DC3F43">
        <w:t>”</w:t>
      </w:r>
      <w:r w:rsidR="00D13435">
        <w:t xml:space="preserve"> sta proprio a significare che</w:t>
      </w:r>
      <w:r w:rsidR="00DC3F43">
        <w:t>,</w:t>
      </w:r>
      <w:r w:rsidR="00D13435">
        <w:t xml:space="preserve"> nelle micro imprese i titolari e i soci hanno </w:t>
      </w:r>
      <w:r w:rsidR="00DC3F43">
        <w:t xml:space="preserve">di fatto ridotto i costi </w:t>
      </w:r>
      <w:r w:rsidR="00D13435">
        <w:t>sostitu</w:t>
      </w:r>
      <w:r w:rsidR="00DC3F43">
        <w:t>endosi ai dipendenti</w:t>
      </w:r>
      <w:r w:rsidR="00D13435">
        <w:t xml:space="preserve">. </w:t>
      </w:r>
      <w:r w:rsidR="00DC3F43">
        <w:t>Tuttavia, al netto della crisi pandemica,</w:t>
      </w:r>
      <w:r w:rsidR="0035120F">
        <w:t xml:space="preserve"> prendendo </w:t>
      </w:r>
      <w:r w:rsidR="00DC3F43">
        <w:t xml:space="preserve">quindi </w:t>
      </w:r>
      <w:r w:rsidR="0035120F">
        <w:t xml:space="preserve">a riferimento il 2019, </w:t>
      </w:r>
      <w:r w:rsidR="00DC3F43">
        <w:t xml:space="preserve">è evidente la modifica della composizione degli addetti: </w:t>
      </w:r>
      <w:r w:rsidR="0035120F">
        <w:t xml:space="preserve">rispetto ai primi anni 2000 </w:t>
      </w:r>
      <w:r w:rsidR="00757537">
        <w:t xml:space="preserve">si sono persi </w:t>
      </w:r>
      <w:r w:rsidR="0035120F">
        <w:t>circa 10.000 indipendenti, compensati da un’analoga crescita dei dipendenti</w:t>
      </w:r>
      <w:r w:rsidR="00757537">
        <w:t xml:space="preserve">. Tuttavia, ciò significa anche aver perso molte attività autonome che hanno definitivamente chiuso, con un’evidente perdita di ricchezza. Un altro dato è evidente: </w:t>
      </w:r>
      <w:r w:rsidR="009E59DD">
        <w:t>il picco di residenti</w:t>
      </w:r>
      <w:r w:rsidR="00D13435">
        <w:t>/</w:t>
      </w:r>
      <w:r w:rsidR="009E59DD">
        <w:t xml:space="preserve">popolazione in età da lavoro </w:t>
      </w:r>
      <w:r w:rsidR="00D13435">
        <w:t xml:space="preserve">la si </w:t>
      </w:r>
      <w:r w:rsidR="00757537">
        <w:t xml:space="preserve">è avuto </w:t>
      </w:r>
      <w:r w:rsidR="009E59DD">
        <w:t xml:space="preserve">in corrispondenza dei maggiori picchi di </w:t>
      </w:r>
      <w:r w:rsidR="00D13435">
        <w:t xml:space="preserve">addetti e crescita, </w:t>
      </w:r>
      <w:r w:rsidR="009E59DD">
        <w:t>in particolare nell’industria dal 2009 al 2011</w:t>
      </w:r>
      <w:r w:rsidR="00D13435">
        <w:t xml:space="preserve">. Con la crisi del 2011 </w:t>
      </w:r>
      <w:r w:rsidR="00757537">
        <w:t>va in crisi anche la demografia provinciale.</w:t>
      </w:r>
      <w:r w:rsidR="00D13435">
        <w:t xml:space="preserve"> </w:t>
      </w:r>
      <w:r w:rsidR="009E59DD">
        <w:t xml:space="preserve">Non è </w:t>
      </w:r>
      <w:r w:rsidR="00D13435">
        <w:t xml:space="preserve">quindi </w:t>
      </w:r>
      <w:r w:rsidR="009E59DD">
        <w:t xml:space="preserve">“solo ed esclusivamente” un problema demografico in sé, ma, anche, </w:t>
      </w:r>
      <w:r w:rsidR="009E59DD" w:rsidRPr="00F909FF">
        <w:rPr>
          <w:u w:val="single"/>
        </w:rPr>
        <w:t>una questione di opportunità di lavoro</w:t>
      </w:r>
      <w:r w:rsidR="009E59DD">
        <w:t xml:space="preserve"> che influisce </w:t>
      </w:r>
      <w:r w:rsidR="00757537">
        <w:t xml:space="preserve">negativamente </w:t>
      </w:r>
      <w:r w:rsidR="009E59DD">
        <w:t xml:space="preserve">sulla demografia </w:t>
      </w:r>
      <w:r w:rsidR="00D13435">
        <w:t>del territorio</w:t>
      </w:r>
      <w:r w:rsidR="00757537">
        <w:t xml:space="preserve"> savonese</w:t>
      </w:r>
      <w:r w:rsidR="00D13435">
        <w:t>.</w:t>
      </w:r>
    </w:p>
    <w:p w14:paraId="2BF02D3A" w14:textId="77777777" w:rsidR="007D1347" w:rsidRDefault="007D1347">
      <w:pPr>
        <w:rPr>
          <w:b/>
          <w:bCs/>
        </w:rPr>
      </w:pPr>
    </w:p>
    <w:p w14:paraId="68455A28" w14:textId="77777777" w:rsidR="00177AE2" w:rsidRDefault="00177AE2">
      <w:pPr>
        <w:rPr>
          <w:b/>
          <w:bCs/>
        </w:rPr>
      </w:pPr>
    </w:p>
    <w:p w14:paraId="5B51F18A" w14:textId="47A097A2" w:rsidR="00F909FF" w:rsidRDefault="00F909FF">
      <w:pPr>
        <w:rPr>
          <w:b/>
          <w:bCs/>
        </w:rPr>
      </w:pPr>
      <w:r w:rsidRPr="00F909FF">
        <w:rPr>
          <w:b/>
          <w:bCs/>
        </w:rPr>
        <w:lastRenderedPageBreak/>
        <w:t>Tass</w:t>
      </w:r>
      <w:r w:rsidR="007D1347">
        <w:rPr>
          <w:b/>
          <w:bCs/>
        </w:rPr>
        <w:t>o</w:t>
      </w:r>
      <w:r w:rsidRPr="00F909FF">
        <w:rPr>
          <w:b/>
          <w:bCs/>
        </w:rPr>
        <w:t xml:space="preserve"> ISTAT sui rapporti occupazione / forze lavoro / struttura demografica provinciale</w:t>
      </w:r>
    </w:p>
    <w:p w14:paraId="76E604C1" w14:textId="77777777" w:rsidR="00177AE2" w:rsidRPr="00F909FF" w:rsidRDefault="00177AE2">
      <w:pPr>
        <w:rPr>
          <w:b/>
          <w:bCs/>
        </w:rPr>
      </w:pPr>
    </w:p>
    <w:tbl>
      <w:tblPr>
        <w:tblW w:w="97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2"/>
        <w:gridCol w:w="1765"/>
        <w:gridCol w:w="1928"/>
        <w:gridCol w:w="2467"/>
        <w:gridCol w:w="2509"/>
      </w:tblGrid>
      <w:tr w:rsidR="00E54C09" w:rsidRPr="00365F0A" w14:paraId="6AF58F97" w14:textId="77777777" w:rsidTr="00E54C09">
        <w:trPr>
          <w:trHeight w:val="225"/>
        </w:trPr>
        <w:tc>
          <w:tcPr>
            <w:tcW w:w="10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B5D8D6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Anno</w:t>
            </w:r>
          </w:p>
        </w:tc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C8E10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Tasso </w:t>
            </w: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occup</w:t>
            </w:r>
            <w:proofErr w:type="spellEnd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9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F2F39F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Tasso </w:t>
            </w: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Disoccupaz</w:t>
            </w:r>
            <w:proofErr w:type="spellEnd"/>
          </w:p>
        </w:tc>
        <w:tc>
          <w:tcPr>
            <w:tcW w:w="246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DF0B6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Ind</w:t>
            </w:r>
            <w:proofErr w:type="spellEnd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. </w:t>
            </w: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Strutt</w:t>
            </w:r>
            <w:proofErr w:type="spellEnd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. di dipendenza</w:t>
            </w:r>
          </w:p>
        </w:tc>
        <w:tc>
          <w:tcPr>
            <w:tcW w:w="25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8446B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Ind</w:t>
            </w:r>
            <w:proofErr w:type="spellEnd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Strutt</w:t>
            </w:r>
            <w:proofErr w:type="spellEnd"/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. Di Dipendenza </w:t>
            </w:r>
          </w:p>
        </w:tc>
      </w:tr>
      <w:tr w:rsidR="00E54C09" w:rsidRPr="00365F0A" w14:paraId="4989963F" w14:textId="77777777" w:rsidTr="00E54C09">
        <w:trPr>
          <w:trHeight w:val="235"/>
        </w:trPr>
        <w:tc>
          <w:tcPr>
            <w:tcW w:w="10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28213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94F43C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Su Forze Lavoro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A79C3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Su forze lavoro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E28B7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da popolazione 15-64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2CCB8C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da Forze Lavoro</w:t>
            </w:r>
          </w:p>
        </w:tc>
      </w:tr>
      <w:tr w:rsidR="00E54C09" w:rsidRPr="00365F0A" w14:paraId="6E929783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5C74D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2004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BBBB2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94,6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9CFD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5,4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913DE9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61,27 </w:t>
            </w:r>
          </w:p>
        </w:tc>
        <w:tc>
          <w:tcPr>
            <w:tcW w:w="2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A00DFB2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151,27</w:t>
            </w:r>
          </w:p>
        </w:tc>
      </w:tr>
      <w:tr w:rsidR="00E54C09" w:rsidRPr="00365F0A" w14:paraId="284597AD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735B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2005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19CB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94,6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28E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5,4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A28F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61,49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1FB2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141,39</w:t>
            </w:r>
          </w:p>
        </w:tc>
      </w:tr>
      <w:tr w:rsidR="00E54C09" w:rsidRPr="00365F0A" w14:paraId="077B6700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A18A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2006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EEDE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95,5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9C4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5F22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61,14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5220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136,25</w:t>
            </w:r>
          </w:p>
        </w:tc>
      </w:tr>
      <w:tr w:rsidR="00E54C09" w:rsidRPr="00365F0A" w14:paraId="3115D71C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B2885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2007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BE2EAA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95,6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910FA02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4,4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C96A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62,64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B6DC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138,77</w:t>
            </w:r>
          </w:p>
        </w:tc>
      </w:tr>
      <w:tr w:rsidR="00E54C09" w:rsidRPr="00365F0A" w14:paraId="7E2362FA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A2810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2008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ADF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94,5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2FB2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5,5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AF37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62,86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9D7C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138,82</w:t>
            </w:r>
          </w:p>
        </w:tc>
      </w:tr>
      <w:tr w:rsidR="00E54C09" w:rsidRPr="00365F0A" w14:paraId="4844E09E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9153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2009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DDAF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95,1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86255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4,9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99B0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62,50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BA8DD76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134,80</w:t>
            </w:r>
          </w:p>
        </w:tc>
      </w:tr>
      <w:tr w:rsidR="00E54C09" w:rsidRPr="00365F0A" w14:paraId="4B865ADF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9E4D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2010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A7CE4F9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95,6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468E84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4,4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7779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63,07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2843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147,20</w:t>
            </w:r>
          </w:p>
        </w:tc>
      </w:tr>
      <w:tr w:rsidR="00E54C09" w:rsidRPr="00365F0A" w14:paraId="22739F3D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8F041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2011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E63F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95,5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EE9D0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49F5C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63,07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234E2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146,47</w:t>
            </w:r>
          </w:p>
        </w:tc>
      </w:tr>
      <w:tr w:rsidR="00E54C09" w:rsidRPr="00365F0A" w14:paraId="16A081E1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B88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2012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1D49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92,9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583B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7,1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19BA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64,71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2CF88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136,11</w:t>
            </w:r>
          </w:p>
        </w:tc>
      </w:tr>
      <w:tr w:rsidR="00E54C09" w:rsidRPr="00365F0A" w14:paraId="69EF7113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56AD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2013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340FEB1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89,6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4F77AFF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10,4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A4DE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65,61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A36D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136,03</w:t>
            </w:r>
          </w:p>
        </w:tc>
      </w:tr>
      <w:tr w:rsidR="00E54C09" w:rsidRPr="00365F0A" w14:paraId="3FCC785B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D5FF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2014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674A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90,5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389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9,5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7EFD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66,47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7991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136,97</w:t>
            </w:r>
          </w:p>
        </w:tc>
      </w:tr>
      <w:tr w:rsidR="00E54C09" w:rsidRPr="00365F0A" w14:paraId="2B6C384F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1C3E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2015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408D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90,6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4CBE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1C88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66,86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3BEF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138,91</w:t>
            </w:r>
          </w:p>
        </w:tc>
      </w:tr>
      <w:tr w:rsidR="00E54C09" w:rsidRPr="00365F0A" w14:paraId="72000176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0B88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2016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C62A1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93,6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0AF01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6,4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496D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67,66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B2A3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136,56</w:t>
            </w:r>
          </w:p>
        </w:tc>
      </w:tr>
      <w:tr w:rsidR="00E54C09" w:rsidRPr="00365F0A" w14:paraId="65D0841B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FB70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2017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BCFF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93,3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5D27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6,7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77542BCE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68,07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769E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136,60</w:t>
            </w:r>
          </w:p>
        </w:tc>
      </w:tr>
      <w:tr w:rsidR="00E54C09" w:rsidRPr="00365F0A" w14:paraId="614C74EA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F1A1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5D97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92,2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5B39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7,8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FDC0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66,87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155AE3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134,99</w:t>
            </w:r>
          </w:p>
        </w:tc>
      </w:tr>
      <w:tr w:rsidR="00E54C09" w:rsidRPr="00365F0A" w14:paraId="560B6637" w14:textId="77777777" w:rsidTr="00E54C09">
        <w:trPr>
          <w:trHeight w:val="225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1A46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C8BE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94,4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0EA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5,6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C935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67,48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DBC8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136,75</w:t>
            </w:r>
          </w:p>
        </w:tc>
      </w:tr>
      <w:tr w:rsidR="00E54C09" w:rsidRPr="00365F0A" w14:paraId="58C03473" w14:textId="77777777" w:rsidTr="00E54C09">
        <w:trPr>
          <w:trHeight w:val="7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2EAA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2020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3EBB4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93,8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17DC" w14:textId="77777777" w:rsidR="00E54C09" w:rsidRPr="00365F0A" w:rsidRDefault="00E54C09" w:rsidP="00365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6,2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0773" w14:textId="77777777" w:rsidR="00E54C09" w:rsidRPr="00365F0A" w:rsidRDefault="00E54C09" w:rsidP="00365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    67,28 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CBD9" w14:textId="77777777" w:rsidR="00E54C09" w:rsidRPr="00365F0A" w:rsidRDefault="00E54C09" w:rsidP="00365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65F0A">
              <w:rPr>
                <w:rFonts w:ascii="Calibri" w:eastAsia="Times New Roman" w:hAnsi="Calibri" w:cs="Calibri"/>
                <w:color w:val="000000"/>
                <w:lang w:eastAsia="it-IT"/>
              </w:rPr>
              <w:t>140,56</w:t>
            </w:r>
          </w:p>
        </w:tc>
      </w:tr>
    </w:tbl>
    <w:p w14:paraId="61A18395" w14:textId="0C41E018" w:rsidR="00365F0A" w:rsidRDefault="00365F0A"/>
    <w:p w14:paraId="17A93DD9" w14:textId="0AD57CFC" w:rsidR="00365F0A" w:rsidRDefault="00365F0A">
      <w:r w:rsidRPr="00B544BA">
        <w:rPr>
          <w:b/>
          <w:bCs/>
        </w:rPr>
        <w:t>Legenda degli indici strutturali di dipendenza</w:t>
      </w:r>
      <w:r>
        <w:t>:</w:t>
      </w:r>
    </w:p>
    <w:p w14:paraId="7D0AE911" w14:textId="5B5414BC" w:rsidR="00365F0A" w:rsidRDefault="00365F0A">
      <w:r>
        <w:t>100 persone di età da lavoro (15-64) ne mantengono altri 67 di età inferiore ai 14 e maggiore a 64</w:t>
      </w:r>
    </w:p>
    <w:p w14:paraId="4A19EB15" w14:textId="126A1F5E" w:rsidR="00E671A0" w:rsidRDefault="00365F0A">
      <w:r>
        <w:t xml:space="preserve">100 persone che costituiscono le Forze Lavoro (Occupati + Disoccupati) ne mantengono altre 140 </w:t>
      </w:r>
    </w:p>
    <w:p w14:paraId="25A990BE" w14:textId="2066A019" w:rsidR="00E671A0" w:rsidRDefault="00E671A0">
      <w:r>
        <w:t xml:space="preserve">100 persone OCCUPATE nel 2020 ne mantengono altre 149 </w:t>
      </w:r>
    </w:p>
    <w:p w14:paraId="69518D76" w14:textId="77777777" w:rsidR="00F909FF" w:rsidRDefault="00F909FF" w:rsidP="00DF0B2D">
      <w:pPr>
        <w:jc w:val="both"/>
      </w:pPr>
    </w:p>
    <w:p w14:paraId="1C0ACF51" w14:textId="77777777" w:rsidR="00F909FF" w:rsidRDefault="00F909FF" w:rsidP="00DF0B2D">
      <w:pPr>
        <w:jc w:val="both"/>
      </w:pPr>
    </w:p>
    <w:p w14:paraId="16900ED4" w14:textId="77777777" w:rsidR="00F909FF" w:rsidRDefault="00F909FF" w:rsidP="00DF0B2D">
      <w:pPr>
        <w:jc w:val="both"/>
      </w:pPr>
    </w:p>
    <w:p w14:paraId="0943769D" w14:textId="267D466B" w:rsidR="00B544BA" w:rsidRDefault="00B544BA" w:rsidP="00F909FF">
      <w:pPr>
        <w:jc w:val="both"/>
      </w:pPr>
      <w:r>
        <w:t xml:space="preserve">Rendere attrattiva </w:t>
      </w:r>
      <w:r w:rsidR="00115D59">
        <w:t>dal punto di vista dei servizi essenziali</w:t>
      </w:r>
      <w:r w:rsidR="007C433E">
        <w:t xml:space="preserve"> (scuola, sanità, sociale) </w:t>
      </w:r>
      <w:r>
        <w:t xml:space="preserve">e RAGGIUNGIBILE la </w:t>
      </w:r>
      <w:r w:rsidR="007C433E">
        <w:t xml:space="preserve">nostra </w:t>
      </w:r>
      <w:r>
        <w:t xml:space="preserve">provincia, </w:t>
      </w:r>
      <w:r w:rsidR="007C433E">
        <w:t xml:space="preserve">può rendere attrattivo il nostro territorio, </w:t>
      </w:r>
      <w:r>
        <w:t>con la conseguenza potenziale crescita di attività economiche e di occupazione</w:t>
      </w:r>
      <w:r w:rsidR="007C433E">
        <w:t xml:space="preserve">; </w:t>
      </w:r>
      <w:r>
        <w:t xml:space="preserve">è fondamentale </w:t>
      </w:r>
      <w:r w:rsidR="007C433E">
        <w:t xml:space="preserve">creare le condizioni di contorno necessarie per la crescita e per una crescita sostenibile, </w:t>
      </w:r>
      <w:r>
        <w:t xml:space="preserve">per </w:t>
      </w:r>
      <w:r w:rsidR="007C433E">
        <w:t xml:space="preserve">riuscire ad </w:t>
      </w:r>
      <w:r>
        <w:t>incidere sul tema demografico</w:t>
      </w:r>
      <w:r w:rsidR="007C433E">
        <w:t xml:space="preserve"> e, contestualmente, </w:t>
      </w:r>
      <w:r>
        <w:t xml:space="preserve">il tema demografico è fondamentale per poter mettere a disposizione dei sistemi produttivi (porto e logistica, industria, turismo, commercio, servizi, </w:t>
      </w:r>
      <w:r w:rsidR="007C433E">
        <w:t xml:space="preserve">cultura, </w:t>
      </w:r>
      <w:r>
        <w:t>agricoltura) addetti in numero sufficiente a rispondere alle esigenze di occupazione.</w:t>
      </w:r>
    </w:p>
    <w:p w14:paraId="74707336" w14:textId="2F03331D" w:rsidR="00B544BA" w:rsidRDefault="00B544BA" w:rsidP="00F909FF">
      <w:pPr>
        <w:jc w:val="both"/>
      </w:pPr>
      <w:r>
        <w:t>L’orientamento scolastico e la formazione sono, invece, fondamentali per poter rendere compatibile la richiesta di posti di lavoro con le professionalità disponibili nel bacino dei disoccupati e della popolazione che neppure cerca lavoro.</w:t>
      </w:r>
    </w:p>
    <w:p w14:paraId="28CCBAE0" w14:textId="70404700" w:rsidR="007C433E" w:rsidRDefault="007C433E" w:rsidP="00F909FF">
      <w:pPr>
        <w:jc w:val="both"/>
      </w:pPr>
      <w:r>
        <w:t>La sanità e la scuola sono inoltre le precondizioni, insieme all’esistenza di un ecosistema produttivo in grado di assorbire competenze, perché una famiglia possa decidere di spostarsi sul nostro territorio. Non bastano il clima e le bellezze naturali, occorre una rete di servizi all’avanguardia e facilmente fruibili (e raggiungibili).</w:t>
      </w:r>
    </w:p>
    <w:p w14:paraId="2FD0D6EC" w14:textId="192C13D9" w:rsidR="00B544BA" w:rsidRDefault="00B544BA" w:rsidP="00F909FF">
      <w:pPr>
        <w:jc w:val="both"/>
      </w:pPr>
      <w:r>
        <w:t xml:space="preserve">Oggi il sistema </w:t>
      </w:r>
      <w:r w:rsidR="007C433E">
        <w:t>complessivo sembrerebbe</w:t>
      </w:r>
      <w:r w:rsidR="00D058C3">
        <w:t xml:space="preserve"> (ed è)</w:t>
      </w:r>
      <w:r w:rsidR="00DF0B2D">
        <w:t xml:space="preserve">, </w:t>
      </w:r>
      <w:r>
        <w:t>in realtà</w:t>
      </w:r>
      <w:r w:rsidR="00DF0B2D">
        <w:t>,</w:t>
      </w:r>
      <w:r w:rsidR="00D058C3">
        <w:t xml:space="preserve"> più equilibrato</w:t>
      </w:r>
      <w:r>
        <w:t xml:space="preserve"> rispetto ai primi anni 2000, perché la partecipazione della popolazione</w:t>
      </w:r>
      <w:r w:rsidR="00A34EC3">
        <w:t xml:space="preserve"> in età tra i </w:t>
      </w:r>
      <w:r>
        <w:t>14-64</w:t>
      </w:r>
      <w:r w:rsidR="00A34EC3">
        <w:t xml:space="preserve">, </w:t>
      </w:r>
      <w:r>
        <w:t xml:space="preserve">al mondo del lavoro è </w:t>
      </w:r>
      <w:r w:rsidR="00DF0B2D">
        <w:t>quasi 6-7</w:t>
      </w:r>
      <w:r>
        <w:t xml:space="preserve"> punti percentuali superiori, </w:t>
      </w:r>
      <w:r w:rsidR="0065587E">
        <w:t xml:space="preserve">e si mantiene tra il 67 e il 68 per cento, </w:t>
      </w:r>
      <w:r w:rsidR="007C433E">
        <w:t xml:space="preserve">ossia un valore discreto a livello nazionale, </w:t>
      </w:r>
      <w:r w:rsidR="0065587E">
        <w:t xml:space="preserve">tenendo conto che nella popolazione </w:t>
      </w:r>
      <w:r w:rsidR="00DF0B2D">
        <w:t xml:space="preserve">tra i 14 e i 25 la percentuale di studenti è elevata e molti degli over 61 hanno colto, ove possibile, le uscite previdenziali, così come il tasso di occupazione sulla popolazione in età da lavoro è ancora accettabile, tra il 65 e il 66 per cento, mentre a inizio anni 2000 e ogni qual volta c’è stata crisi è sceso </w:t>
      </w:r>
      <w:r w:rsidR="009566A5">
        <w:t>tra il 61 e il 62 per cento.</w:t>
      </w:r>
      <w:r w:rsidR="007C433E">
        <w:t xml:space="preserve"> Tuttavia, resta il fatto che il miglioramento della performance è dovuto, sostanzialmente, ad una drastica diminuzione della popolazione complessiva e della popolazione in età da lavoro.</w:t>
      </w:r>
    </w:p>
    <w:p w14:paraId="37C42007" w14:textId="149AD363" w:rsidR="009566A5" w:rsidRDefault="00DB537F" w:rsidP="00F909FF">
      <w:pPr>
        <w:jc w:val="both"/>
      </w:pPr>
      <w:r>
        <w:t xml:space="preserve">L’effetto, tuttavia, è </w:t>
      </w:r>
      <w:r w:rsidR="00D058C3">
        <w:t>– almeno in teoria –</w:t>
      </w:r>
      <w:r>
        <w:t xml:space="preserve"> positivo</w:t>
      </w:r>
      <w:r w:rsidR="00D058C3">
        <w:t>, in quanto</w:t>
      </w:r>
      <w:r>
        <w:t xml:space="preserve"> n</w:t>
      </w:r>
      <w:r w:rsidR="009566A5">
        <w:t xml:space="preserve">eppure la pandemia ha piegato </w:t>
      </w:r>
      <w:r w:rsidR="00D571A3">
        <w:t>il dato occupazionale</w:t>
      </w:r>
      <w:r w:rsidR="00D058C3">
        <w:t>:</w:t>
      </w:r>
      <w:r w:rsidR="00D571A3">
        <w:t xml:space="preserve"> </w:t>
      </w:r>
      <w:r w:rsidR="009566A5">
        <w:t>il tasso di occupazione delle persone in età da lavoro</w:t>
      </w:r>
      <w:r w:rsidR="00D058C3">
        <w:t xml:space="preserve"> è decisamente </w:t>
      </w:r>
      <w:r w:rsidR="009566A5">
        <w:t xml:space="preserve">più </w:t>
      </w:r>
      <w:r w:rsidR="00D058C3">
        <w:t xml:space="preserve">elevato </w:t>
      </w:r>
      <w:r w:rsidR="009566A5">
        <w:t>che durante le tre crisi che hanno investito questo territorio (e l’Italia) negli ultimi tre lustri.</w:t>
      </w:r>
    </w:p>
    <w:p w14:paraId="3B8698CA" w14:textId="77777777" w:rsidR="00DF0B2D" w:rsidRDefault="00DF0B2D" w:rsidP="00DF0B2D">
      <w:pPr>
        <w:jc w:val="both"/>
      </w:pPr>
    </w:p>
    <w:p w14:paraId="0E90F1AE" w14:textId="77777777" w:rsidR="00DF0B2D" w:rsidRDefault="00DF0B2D"/>
    <w:p w14:paraId="76B602DA" w14:textId="2D4D0635" w:rsidR="00B544BA" w:rsidRDefault="00B544BA"/>
    <w:p w14:paraId="7EF3E1F0" w14:textId="6D2FA75A" w:rsidR="008A5D90" w:rsidRDefault="008A5D90"/>
    <w:p w14:paraId="58340894" w14:textId="5F39EA5C" w:rsidR="008A5D90" w:rsidRDefault="008A5D90"/>
    <w:p w14:paraId="4BE0A808" w14:textId="049B283B" w:rsidR="008A5D90" w:rsidRDefault="008A5D90"/>
    <w:p w14:paraId="4F63136F" w14:textId="26ED656A" w:rsidR="008A5D90" w:rsidRDefault="008A5D90"/>
    <w:p w14:paraId="73CEDAC3" w14:textId="40D5E876" w:rsidR="000B69AE" w:rsidRDefault="008A5D90" w:rsidP="000B69AE">
      <w:r w:rsidRPr="008A5D90">
        <w:rPr>
          <w:b/>
          <w:bCs/>
        </w:rPr>
        <w:lastRenderedPageBreak/>
        <w:t>OCCUPAZIONE SETTORIALE 2012-2020</w:t>
      </w:r>
      <w:r w:rsidR="000B69AE">
        <w:tab/>
      </w:r>
      <w:r w:rsidR="005B2AF8">
        <w:t>(Dati ISTAT)</w:t>
      </w:r>
    </w:p>
    <w:p w14:paraId="35CCB038" w14:textId="77777777" w:rsidR="00F278DE" w:rsidRDefault="00F278DE" w:rsidP="000B69AE">
      <w:pPr>
        <w:rPr>
          <w:b/>
          <w:bCs/>
        </w:rPr>
      </w:pPr>
    </w:p>
    <w:p w14:paraId="2C7BAD9A" w14:textId="6B0EE74F" w:rsidR="000B69AE" w:rsidRDefault="005B2AF8" w:rsidP="000B69AE">
      <w:pPr>
        <w:rPr>
          <w:b/>
          <w:bCs/>
        </w:rPr>
      </w:pPr>
      <w:r>
        <w:rPr>
          <w:b/>
          <w:bCs/>
        </w:rPr>
        <w:t>INDUSTRIA E COSTRUZIONI 2012-2020</w:t>
      </w:r>
    </w:p>
    <w:p w14:paraId="5DC6B623" w14:textId="77777777" w:rsidR="005B2AF8" w:rsidRPr="000B69AE" w:rsidRDefault="005B2AF8" w:rsidP="000B69AE">
      <w:pPr>
        <w:rPr>
          <w:b/>
          <w:bCs/>
        </w:rPr>
      </w:pPr>
    </w:p>
    <w:tbl>
      <w:tblPr>
        <w:tblpPr w:leftFromText="141" w:rightFromText="141" w:vertAnchor="text" w:horzAnchor="page" w:tblpX="9073" w:tblpY="1340"/>
        <w:tblW w:w="46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2"/>
        <w:gridCol w:w="1134"/>
        <w:gridCol w:w="1357"/>
        <w:gridCol w:w="1215"/>
      </w:tblGrid>
      <w:tr w:rsidR="007D1347" w:rsidRPr="008A5D90" w14:paraId="3B540D9D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BFE9" w14:textId="77777777" w:rsidR="007D1347" w:rsidRPr="008A5D90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320C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dipendenti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DF7C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Indipendenti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6BD1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totale</w:t>
            </w:r>
          </w:p>
        </w:tc>
      </w:tr>
      <w:tr w:rsidR="007D1347" w:rsidRPr="008A5D90" w14:paraId="5677CAE7" w14:textId="77777777" w:rsidTr="007D1347">
        <w:trPr>
          <w:trHeight w:val="288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0DF6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6C9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7922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ECB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D1347" w:rsidRPr="008A5D90" w14:paraId="4A52F776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DB4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369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0602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5073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D1347" w:rsidRPr="008A5D90" w14:paraId="238F3BCE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3FB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EF47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6AD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3B43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</w:tr>
      <w:tr w:rsidR="007D1347" w:rsidRPr="008A5D90" w14:paraId="04C433C9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05B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146C41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0C3D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3E2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7D1347" w:rsidRPr="008A5D90" w14:paraId="7D1F78A8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7603578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722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D36F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24160DE3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19</w:t>
            </w:r>
          </w:p>
        </w:tc>
      </w:tr>
      <w:tr w:rsidR="007D1347" w:rsidRPr="008A5D90" w14:paraId="63A7BBAF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B1E7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C1E9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DD1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8B5A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</w:tr>
      <w:tr w:rsidR="007D1347" w:rsidRPr="008A5D90" w14:paraId="3ADB161E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070F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A629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17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5A5952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21843D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25</w:t>
            </w:r>
          </w:p>
        </w:tc>
      </w:tr>
      <w:tr w:rsidR="007D1347" w:rsidRPr="008A5D90" w14:paraId="73C27034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3D57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EF9EE2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F756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F47778E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25</w:t>
            </w:r>
          </w:p>
        </w:tc>
      </w:tr>
      <w:tr w:rsidR="007D1347" w:rsidRPr="008A5D90" w14:paraId="76A3B8C9" w14:textId="77777777" w:rsidTr="007D1347">
        <w:trPr>
          <w:trHeight w:val="288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7135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9EAA8A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3106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7232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24</w:t>
            </w:r>
          </w:p>
        </w:tc>
      </w:tr>
    </w:tbl>
    <w:p w14:paraId="1709FA3B" w14:textId="6CA5C642" w:rsidR="000B69AE" w:rsidRDefault="000B69AE" w:rsidP="000B69AE">
      <w:r>
        <w:rPr>
          <w:noProof/>
        </w:rPr>
        <w:drawing>
          <wp:inline distT="0" distB="0" distL="0" distR="0" wp14:anchorId="758DD0E2" wp14:editId="5C935BB8">
            <wp:extent cx="4506350" cy="2743200"/>
            <wp:effectExtent l="0" t="0" r="8890" b="0"/>
            <wp:docPr id="1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D9C4B20A-10A5-4B7E-909B-D1EE6653306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3D889D3" w14:textId="44AE454F" w:rsidR="005B2AF8" w:rsidRDefault="005B2AF8" w:rsidP="00F278DE">
      <w:pPr>
        <w:pStyle w:val="Paragrafoelenco"/>
      </w:pPr>
    </w:p>
    <w:p w14:paraId="18E9B956" w14:textId="5977D036" w:rsidR="000B69AE" w:rsidRDefault="000B69AE" w:rsidP="000B69AE"/>
    <w:p w14:paraId="1F17F7A8" w14:textId="01F1B6DE" w:rsidR="00D97EB5" w:rsidRDefault="00F278DE" w:rsidP="007D1347">
      <w:pPr>
        <w:jc w:val="both"/>
      </w:pPr>
      <w:r>
        <w:t>Il settore Industria e costruzioni ha assorbito bene, con alcuni distinguo tra industria in senso stretto e costruzioni, il calo di addetti</w:t>
      </w:r>
      <w:r w:rsidR="00D058C3">
        <w:t xml:space="preserve"> “pandemico”</w:t>
      </w:r>
      <w:r>
        <w:t xml:space="preserve">, grazie ad una minore incidenza del lockdown sulle attività edili, alla partenza iniziale dei bonus edilizi, unito alla propensione ad investire il risparmio accumulato </w:t>
      </w:r>
      <w:r w:rsidR="00D058C3">
        <w:t>dagli addetti in smart-working</w:t>
      </w:r>
      <w:r>
        <w:t xml:space="preserve"> in beni durevoli e in particolare nell’acquisto e ristrutturazione o sola ristrutturazione degli immobili. Infine, hanno giocato un ruolo importante i lavori di ripristino dai danni alluvionali del 2019, svolti in gran parte nel 2020 continuativamente anche durante il periodo di lockdown e che hanno dato ossigeno al mercato degli appalti pubblici durante il </w:t>
      </w:r>
      <w:proofErr w:type="spellStart"/>
      <w:r>
        <w:t>lockdwon</w:t>
      </w:r>
      <w:proofErr w:type="spellEnd"/>
      <w:r>
        <w:t xml:space="preserve"> “duro”.</w:t>
      </w:r>
      <w:r w:rsidR="00D058C3">
        <w:t xml:space="preserve"> L’industria ha tenuto grazie alla variegata composizione merceologica e ha sostanzialmente recuperato buona parte degli addetti nel 2021, anche se siamo in attesa dei dati definitivi. A</w:t>
      </w:r>
      <w:r>
        <w:t xml:space="preserve">l netto della pandemia, </w:t>
      </w:r>
      <w:r w:rsidR="00D058C3">
        <w:t xml:space="preserve">i dati </w:t>
      </w:r>
      <w:r>
        <w:t>testimoniano comunque come il comparto</w:t>
      </w:r>
      <w:r w:rsidR="00D058C3">
        <w:t>,</w:t>
      </w:r>
      <w:r>
        <w:t xml:space="preserve"> </w:t>
      </w:r>
      <w:r w:rsidR="00D54A85">
        <w:t>rispetto a dieci anni fa, abbia avuto una crescita consistente tra il 2018 e il 2020 nell’ordine di 3-4.000 addetti</w:t>
      </w:r>
      <w:r w:rsidR="00D058C3">
        <w:t>, crescita che addirittura anche il 2020 mantiene rispetto al 2012.</w:t>
      </w:r>
    </w:p>
    <w:tbl>
      <w:tblPr>
        <w:tblpPr w:leftFromText="141" w:rightFromText="141" w:vertAnchor="text" w:horzAnchor="page" w:tblpX="9505" w:tblpY="800"/>
        <w:tblW w:w="46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112"/>
        <w:gridCol w:w="1278"/>
        <w:gridCol w:w="1328"/>
      </w:tblGrid>
      <w:tr w:rsidR="007D1347" w:rsidRPr="008A5D90" w14:paraId="183954C1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6030" w14:textId="77777777" w:rsidR="007D1347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5F6EDCF7" w14:textId="77777777" w:rsidR="007D1347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3B1FCD2B" w14:textId="77777777" w:rsidR="007D1347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4E0EB181" w14:textId="77777777" w:rsidR="007D1347" w:rsidRPr="008A5D90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C7543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dipendenti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452F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indipendenti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FE9C" w14:textId="77777777" w:rsidR="007D1347" w:rsidRPr="008A5D90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totale</w:t>
            </w:r>
          </w:p>
        </w:tc>
      </w:tr>
      <w:tr w:rsidR="007D1347" w:rsidRPr="008A5D90" w14:paraId="77B980EB" w14:textId="77777777" w:rsidTr="007D1347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53EC9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69A95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51FBE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F9F28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</w:tr>
      <w:tr w:rsidR="007D1347" w:rsidRPr="008A5D90" w14:paraId="6A269E2E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AAD6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AA23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C4C0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D0E4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</w:tr>
      <w:tr w:rsidR="007D1347" w:rsidRPr="008A5D90" w14:paraId="5A365C6E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455E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0E4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4B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532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</w:tr>
      <w:tr w:rsidR="007D1347" w:rsidRPr="008A5D90" w14:paraId="68DF0783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D08F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EDAA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8C5E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C47F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</w:tr>
      <w:tr w:rsidR="007D1347" w:rsidRPr="008A5D90" w14:paraId="1CDA7482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4F302274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4A68B45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439825A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2D4A7796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</w:tr>
      <w:tr w:rsidR="007D1347" w:rsidRPr="008A5D90" w14:paraId="56B98230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6FDA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C2C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47A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57FD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</w:tr>
      <w:tr w:rsidR="007D1347" w:rsidRPr="008A5D90" w14:paraId="34022B5F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6041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57E8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A124543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D70E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16</w:t>
            </w:r>
          </w:p>
        </w:tc>
      </w:tr>
      <w:tr w:rsidR="007D1347" w:rsidRPr="008A5D90" w14:paraId="4E927B84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BBF2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A503F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16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C8EB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A6A848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</w:tr>
      <w:tr w:rsidR="007D1347" w:rsidRPr="008A5D90" w14:paraId="71D789DC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5AFC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2020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52D5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94B0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FF94" w14:textId="77777777" w:rsidR="007D1347" w:rsidRPr="008A5D90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A5D90">
              <w:rPr>
                <w:rFonts w:ascii="Calibri" w:eastAsia="Times New Roman" w:hAnsi="Calibri" w:cs="Calibri"/>
                <w:color w:val="000000"/>
                <w:lang w:eastAsia="it-IT"/>
              </w:rPr>
              <w:t>16</w:t>
            </w:r>
          </w:p>
        </w:tc>
      </w:tr>
    </w:tbl>
    <w:p w14:paraId="27540831" w14:textId="0A270C27" w:rsidR="000B69AE" w:rsidRDefault="000B69AE" w:rsidP="000B69AE">
      <w:r>
        <w:rPr>
          <w:noProof/>
        </w:rPr>
        <w:drawing>
          <wp:inline distT="0" distB="0" distL="0" distR="0" wp14:anchorId="666C8A43" wp14:editId="18673B6B">
            <wp:extent cx="4506350" cy="2743200"/>
            <wp:effectExtent l="0" t="0" r="8890" b="0"/>
            <wp:docPr id="2" name="Grafico 2">
              <a:extLst xmlns:a="http://schemas.openxmlformats.org/drawingml/2006/main">
                <a:ext uri="{FF2B5EF4-FFF2-40B4-BE49-F238E27FC236}">
                  <a16:creationId xmlns:a16="http://schemas.microsoft.com/office/drawing/2014/main" id="{4DEAF1B6-806C-4728-9F9C-B2624941C5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B5F3D36" w14:textId="6FBC33DB" w:rsidR="000B69AE" w:rsidRDefault="000B69AE" w:rsidP="000B69AE"/>
    <w:p w14:paraId="1406A34B" w14:textId="79221D2A" w:rsidR="005B2AF8" w:rsidRDefault="005B2AF8" w:rsidP="00F278DE"/>
    <w:p w14:paraId="5B41ABAA" w14:textId="68A609A8" w:rsidR="005B2AF8" w:rsidRDefault="00D54A85" w:rsidP="005B2AF8">
      <w:r>
        <w:t xml:space="preserve">Al netto della pandemia, la crescita dell’industria in senso stretto nel periodo 2017-2020 </w:t>
      </w:r>
      <w:r w:rsidR="000D753D">
        <w:t xml:space="preserve">(così come 2012-2020 </w:t>
      </w:r>
      <w:r>
        <w:t>è stato notevole.</w:t>
      </w:r>
    </w:p>
    <w:p w14:paraId="581CFDC0" w14:textId="0F9A02AB" w:rsidR="00D54A85" w:rsidRDefault="000D753D" w:rsidP="005B2AF8">
      <w:r>
        <w:t xml:space="preserve">La crescita </w:t>
      </w:r>
      <w:r w:rsidR="00D54A85">
        <w:t xml:space="preserve">ha interessato fondamentalmente i dipendenti, con un delta </w:t>
      </w:r>
      <w:proofErr w:type="spellStart"/>
      <w:r w:rsidR="00D54A85">
        <w:t>pre</w:t>
      </w:r>
      <w:proofErr w:type="spellEnd"/>
      <w:r w:rsidR="00D54A85">
        <w:t>-pandemia di oltre 7.000 addetti rispetto al 2012</w:t>
      </w:r>
      <w:r>
        <w:t>,</w:t>
      </w:r>
      <w:r w:rsidR="00D54A85">
        <w:t xml:space="preserve"> con una crescita da 11.000 a 18.000 addetti complessivi, tenendo, comunque, nel 2020 i livelli del 2018</w:t>
      </w:r>
      <w:r>
        <w:t>, in buona parte recuperati (ma i dati sono ancora provvisori) nel 2021</w:t>
      </w:r>
      <w:r w:rsidR="00D54A85">
        <w:t xml:space="preserve">. </w:t>
      </w:r>
    </w:p>
    <w:p w14:paraId="56EB461F" w14:textId="77777777" w:rsidR="000D753D" w:rsidRDefault="00D54A85" w:rsidP="00D97EB5">
      <w:pPr>
        <w:jc w:val="both"/>
      </w:pPr>
      <w:r>
        <w:t xml:space="preserve">Il calo del periodo pandemico ha coinvolto le </w:t>
      </w:r>
      <w:r w:rsidR="000D753D">
        <w:t xml:space="preserve">micro imprese </w:t>
      </w:r>
      <w:r>
        <w:t xml:space="preserve">che hanno perso </w:t>
      </w:r>
      <w:r w:rsidR="000D753D">
        <w:t xml:space="preserve">un po’ meno di </w:t>
      </w:r>
      <w:r>
        <w:t xml:space="preserve">1.000 addetti e le imprese industriali che hanno </w:t>
      </w:r>
      <w:r w:rsidR="000D753D">
        <w:t>contratto il personale a termine</w:t>
      </w:r>
      <w:r w:rsidR="00D97EB5">
        <w:t>. Il lockdown “duro” ha coinvolto circa un 60% di imprese industriali, la successiva riapertura si è comunque scontrata con il nuovo lockdown dell’ottobre che, seppure non abbia inciso sull’apertura delle industrie, ha inciso su ordinativi e consumi</w:t>
      </w:r>
      <w:r w:rsidR="000D753D">
        <w:t xml:space="preserve"> non permettendo una ripartenza solida, ma solo dei “rimbalzi”. </w:t>
      </w:r>
    </w:p>
    <w:p w14:paraId="647FB617" w14:textId="3BD78A8E" w:rsidR="008A5D90" w:rsidRDefault="000D753D" w:rsidP="00D97EB5">
      <w:pPr>
        <w:jc w:val="both"/>
      </w:pPr>
      <w:r>
        <w:t xml:space="preserve">Lo stesso lo si sta verificando a fine 2021, alla luce di una serie di fattori (carenza e aumento materie prime, costi di trasporto e noli marittimi, aumento dei costi energetici, instabilità della domanda e degli ordinativi per l’incertezza pandemica, crisi </w:t>
      </w:r>
      <w:proofErr w:type="spellStart"/>
      <w:r>
        <w:t>dell’automotive</w:t>
      </w:r>
      <w:proofErr w:type="spellEnd"/>
      <w:r>
        <w:t>)</w:t>
      </w:r>
      <w:r w:rsidR="00D97EB5">
        <w:t xml:space="preserve">. </w:t>
      </w:r>
    </w:p>
    <w:p w14:paraId="0C0E38EB" w14:textId="18AA4E3D" w:rsidR="00DA679C" w:rsidRDefault="00DA679C" w:rsidP="003C3180">
      <w:pPr>
        <w:jc w:val="both"/>
      </w:pPr>
    </w:p>
    <w:p w14:paraId="58883CD8" w14:textId="1C18909D" w:rsidR="00DA679C" w:rsidRDefault="00DA679C" w:rsidP="003C3180">
      <w:pPr>
        <w:jc w:val="both"/>
      </w:pPr>
    </w:p>
    <w:p w14:paraId="75708CFB" w14:textId="77777777" w:rsidR="00304F7A" w:rsidRDefault="00304F7A" w:rsidP="003C3180">
      <w:pPr>
        <w:jc w:val="both"/>
      </w:pPr>
    </w:p>
    <w:p w14:paraId="00B2E594" w14:textId="70375D1C" w:rsidR="005B2AF8" w:rsidRPr="00D97EB5" w:rsidRDefault="005B2AF8" w:rsidP="003C3180">
      <w:pPr>
        <w:jc w:val="both"/>
        <w:rPr>
          <w:b/>
          <w:bCs/>
        </w:rPr>
      </w:pPr>
      <w:r w:rsidRPr="005B2AF8">
        <w:rPr>
          <w:b/>
          <w:bCs/>
        </w:rPr>
        <w:t xml:space="preserve">SERVIZI </w:t>
      </w:r>
    </w:p>
    <w:p w14:paraId="44D16927" w14:textId="77777777" w:rsidR="005B2AF8" w:rsidRDefault="005B2AF8" w:rsidP="003C3180">
      <w:pPr>
        <w:jc w:val="both"/>
      </w:pPr>
    </w:p>
    <w:tbl>
      <w:tblPr>
        <w:tblpPr w:leftFromText="141" w:rightFromText="141" w:vertAnchor="text" w:horzAnchor="page" w:tblpX="9085" w:tblpY="1340"/>
        <w:tblW w:w="4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180"/>
        <w:gridCol w:w="1320"/>
        <w:gridCol w:w="1180"/>
      </w:tblGrid>
      <w:tr w:rsidR="007D1347" w:rsidRPr="00DA679C" w14:paraId="436A7AD1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62F9" w14:textId="77777777" w:rsidR="007D1347" w:rsidRPr="00DA679C" w:rsidRDefault="007D1347" w:rsidP="007D1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B037" w14:textId="77777777" w:rsidR="007D1347" w:rsidRPr="00DA679C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dipendenti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0BF0" w14:textId="77777777" w:rsidR="007D1347" w:rsidRPr="00DA679C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indipendenti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EDD9" w14:textId="77777777" w:rsidR="007D1347" w:rsidRPr="00DA679C" w:rsidRDefault="007D1347" w:rsidP="007D13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totali</w:t>
            </w:r>
          </w:p>
        </w:tc>
      </w:tr>
      <w:tr w:rsidR="007D1347" w:rsidRPr="00DA679C" w14:paraId="5A7E094F" w14:textId="77777777" w:rsidTr="007D1347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8DB9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DE55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1A7B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8B9F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84</w:t>
            </w:r>
          </w:p>
        </w:tc>
      </w:tr>
      <w:tr w:rsidR="007D1347" w:rsidRPr="00DA679C" w14:paraId="77F76CE3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FE89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8849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5368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6C10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82</w:t>
            </w:r>
          </w:p>
        </w:tc>
      </w:tr>
      <w:tr w:rsidR="007D1347" w:rsidRPr="00DA679C" w14:paraId="6B64E63E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40D1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719B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B45CA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213C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82</w:t>
            </w:r>
          </w:p>
        </w:tc>
      </w:tr>
      <w:tr w:rsidR="007D1347" w:rsidRPr="00DA679C" w14:paraId="38D23F20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C47F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0C3D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3A4E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F9A61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82</w:t>
            </w:r>
          </w:p>
        </w:tc>
      </w:tr>
      <w:tr w:rsidR="007D1347" w:rsidRPr="00DA679C" w14:paraId="791CD4EE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CC77D4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DEB9C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DE4B995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AB050EA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88</w:t>
            </w:r>
          </w:p>
        </w:tc>
      </w:tr>
      <w:tr w:rsidR="007D1347" w:rsidRPr="00DA679C" w14:paraId="43C54D3E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A9F1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16994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233D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B826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86</w:t>
            </w:r>
          </w:p>
        </w:tc>
      </w:tr>
      <w:tr w:rsidR="007D1347" w:rsidRPr="00DA679C" w14:paraId="236E5805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10949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ED1F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6932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9711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82</w:t>
            </w:r>
          </w:p>
        </w:tc>
      </w:tr>
      <w:tr w:rsidR="007D1347" w:rsidRPr="00DA679C" w14:paraId="298751FD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3806C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8972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CEED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453E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81</w:t>
            </w:r>
          </w:p>
        </w:tc>
      </w:tr>
      <w:tr w:rsidR="007D1347" w:rsidRPr="00DA679C" w14:paraId="058C3E1C" w14:textId="77777777" w:rsidTr="007D1347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4761110E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2020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71D81E20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0B089BE0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450A9BA" w14:textId="77777777" w:rsidR="007D1347" w:rsidRPr="00DA679C" w:rsidRDefault="007D1347" w:rsidP="007D13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A679C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</w:tr>
    </w:tbl>
    <w:p w14:paraId="1F07C231" w14:textId="37923565" w:rsidR="005B2AF8" w:rsidRDefault="005B2AF8" w:rsidP="003C3180">
      <w:pPr>
        <w:jc w:val="both"/>
      </w:pPr>
      <w:r>
        <w:rPr>
          <w:noProof/>
        </w:rPr>
        <w:drawing>
          <wp:inline distT="0" distB="0" distL="0" distR="0" wp14:anchorId="7F172925" wp14:editId="36927F41">
            <wp:extent cx="4506351" cy="2743200"/>
            <wp:effectExtent l="0" t="0" r="8890" b="0"/>
            <wp:docPr id="3" name="Grafico 3">
              <a:extLst xmlns:a="http://schemas.openxmlformats.org/drawingml/2006/main">
                <a:ext uri="{FF2B5EF4-FFF2-40B4-BE49-F238E27FC236}">
                  <a16:creationId xmlns:a16="http://schemas.microsoft.com/office/drawing/2014/main" id="{84A89B94-3323-479E-9794-6723B6882E4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013894F" w14:textId="318D5564" w:rsidR="005B2AF8" w:rsidRDefault="005B2AF8" w:rsidP="003C3180">
      <w:pPr>
        <w:jc w:val="both"/>
      </w:pPr>
    </w:p>
    <w:p w14:paraId="5BEAB9C5" w14:textId="091854C3" w:rsidR="005B2AF8" w:rsidRDefault="00D97EB5" w:rsidP="003C3180">
      <w:pPr>
        <w:jc w:val="both"/>
      </w:pPr>
      <w:r>
        <w:t xml:space="preserve">La pandemia ha “picchiato duro” sui servizi, </w:t>
      </w:r>
      <w:r w:rsidR="00943D6D">
        <w:t>in particolare su</w:t>
      </w:r>
      <w:r w:rsidR="00E756AB">
        <w:t xml:space="preserve">gli addetti </w:t>
      </w:r>
      <w:r w:rsidR="00943D6D">
        <w:t xml:space="preserve">dipendenti, andando ad incastonarsi </w:t>
      </w:r>
      <w:r w:rsidR="00E756AB">
        <w:t xml:space="preserve">tuttavia </w:t>
      </w:r>
      <w:r w:rsidR="00943D6D">
        <w:t xml:space="preserve">in un trend </w:t>
      </w:r>
      <w:r w:rsidR="00822FE6">
        <w:t xml:space="preserve">di calo occupazionale </w:t>
      </w:r>
      <w:r w:rsidR="00943D6D">
        <w:t xml:space="preserve">già iniziato dal 2017. </w:t>
      </w:r>
      <w:r w:rsidR="00822FE6">
        <w:t>C</w:t>
      </w:r>
      <w:r w:rsidR="00943D6D">
        <w:t>ome si potrà vedere nei successivi grafici</w:t>
      </w:r>
      <w:r w:rsidR="00822FE6">
        <w:t xml:space="preserve"> la crisi ha inciso sul comparto</w:t>
      </w:r>
      <w:r w:rsidR="00943D6D">
        <w:t xml:space="preserve"> commercio, bar e ristorazione e </w:t>
      </w:r>
      <w:r w:rsidR="00822FE6">
        <w:t xml:space="preserve">(meno) </w:t>
      </w:r>
      <w:r w:rsidR="00943D6D">
        <w:t xml:space="preserve">alberghi.  I meno 4.000 addetti dipendenti nei servizi durante la pandemia sono numeri </w:t>
      </w:r>
      <w:r w:rsidR="00822FE6">
        <w:t xml:space="preserve">molto </w:t>
      </w:r>
      <w:r w:rsidR="00943D6D">
        <w:t>pesanti</w:t>
      </w:r>
      <w:r w:rsidR="00822FE6">
        <w:t>, di difficile ricollocazione in altri settori e</w:t>
      </w:r>
      <w:r w:rsidR="00943D6D">
        <w:t xml:space="preserve"> che, difficilmente, </w:t>
      </w:r>
      <w:r w:rsidR="00822FE6">
        <w:t>saranno riassorbiti a breve</w:t>
      </w:r>
      <w:r w:rsidR="00943D6D">
        <w:t xml:space="preserve">, considerato anche che la pandemia, cui si aggiungono i rincari di ogni merce per l’aumento delle materie prime e la depressione sui consumi scaturente dall’aumento delle bollette energetiche, non accenna a diminuire e anzi </w:t>
      </w:r>
      <w:r w:rsidR="00822FE6">
        <w:t xml:space="preserve">sta portando </w:t>
      </w:r>
      <w:r w:rsidR="00943D6D">
        <w:t>a nuove misure che colpiscono, ancora una volta, con forza, i settori della ristorazione, bar e alberghi.</w:t>
      </w:r>
      <w:r w:rsidR="00822FE6">
        <w:t xml:space="preserve"> La p</w:t>
      </w:r>
      <w:r w:rsidR="00A96C75">
        <w:t xml:space="preserve">oca fiducia sulla </w:t>
      </w:r>
      <w:r w:rsidR="00822FE6">
        <w:t xml:space="preserve">immediata </w:t>
      </w:r>
      <w:r w:rsidR="00A96C75">
        <w:t xml:space="preserve">ripresa </w:t>
      </w:r>
      <w:r w:rsidR="00822FE6">
        <w:t xml:space="preserve">occupazionale </w:t>
      </w:r>
      <w:r w:rsidR="00A96C75">
        <w:t>nei servizi sembra</w:t>
      </w:r>
      <w:r w:rsidR="00822FE6">
        <w:t xml:space="preserve"> infine,</w:t>
      </w:r>
      <w:r w:rsidR="00A96C75">
        <w:t xml:space="preserve"> scaturire dall’esame della congiuntura dell’ultimo triennio. </w:t>
      </w:r>
      <w:r>
        <w:t>Prendendo a riferimento il comparto dei servizi nel suo complesso, al netto del periodo pandemico</w:t>
      </w:r>
      <w:r w:rsidR="00A96C75">
        <w:t xml:space="preserve">, questo ha tenuto bene fino al 2017, con un picco di addetti nel 2016, cui sono seguiti tre anni di crollo fino al 2019 in cui il settore ha perso </w:t>
      </w:r>
      <w:r w:rsidR="00822FE6">
        <w:t xml:space="preserve">ben </w:t>
      </w:r>
      <w:r w:rsidR="00A96C75">
        <w:t>7.000 addetti, equamente suddivisi tra dipendenti e indipendenti. La pandemia è</w:t>
      </w:r>
      <w:r w:rsidR="00822FE6">
        <w:t>,</w:t>
      </w:r>
      <w:r w:rsidR="00A96C75">
        <w:t xml:space="preserve"> quindi</w:t>
      </w:r>
      <w:r w:rsidR="00822FE6">
        <w:t>,</w:t>
      </w:r>
      <w:r w:rsidR="00A96C75">
        <w:t xml:space="preserve"> intervenuta su di un settore in cui i mutamenti del mercato, in particolare del commercio, ha condotto alla chiusura di molte attività </w:t>
      </w:r>
      <w:r w:rsidR="00822FE6">
        <w:t>e</w:t>
      </w:r>
      <w:r w:rsidR="00A96C75">
        <w:t xml:space="preserve"> alla riduzione degli addetti dipendenti. La pandemia ha poi piegato anche il settore turistico, in particolare bar e ristoranti, che hanno spesso aumentato l’apporto dei titolari, sacrificando </w:t>
      </w:r>
      <w:r w:rsidR="00822FE6">
        <w:t xml:space="preserve">– per sopravvivere all’indebitamento e all’incertezza sul futuro, </w:t>
      </w:r>
      <w:r w:rsidR="00A96C75">
        <w:t>gli addetti dipendenti.</w:t>
      </w:r>
    </w:p>
    <w:p w14:paraId="0764D5AF" w14:textId="28481E93" w:rsidR="00A96C75" w:rsidRPr="000D1837" w:rsidRDefault="000D1837" w:rsidP="003C3180">
      <w:pPr>
        <w:jc w:val="both"/>
        <w:rPr>
          <w:b/>
          <w:bCs/>
        </w:rPr>
      </w:pPr>
      <w:r w:rsidRPr="000D1837">
        <w:rPr>
          <w:b/>
          <w:bCs/>
        </w:rPr>
        <w:lastRenderedPageBreak/>
        <w:t xml:space="preserve">(DI </w:t>
      </w:r>
      <w:proofErr w:type="gramStart"/>
      <w:r w:rsidRPr="000D1837">
        <w:rPr>
          <w:b/>
          <w:bCs/>
        </w:rPr>
        <w:t xml:space="preserve">CUI)   </w:t>
      </w:r>
      <w:proofErr w:type="gramEnd"/>
      <w:r w:rsidRPr="000D1837">
        <w:rPr>
          <w:b/>
          <w:bCs/>
        </w:rPr>
        <w:t xml:space="preserve"> </w:t>
      </w:r>
      <w:r>
        <w:rPr>
          <w:b/>
          <w:bCs/>
        </w:rPr>
        <w:t xml:space="preserve">-     </w:t>
      </w:r>
      <w:r w:rsidRPr="000D1837">
        <w:rPr>
          <w:b/>
          <w:bCs/>
        </w:rPr>
        <w:t>SERVIZI DI COMMERCIO, ALBERGHI, BAR E RISTORAZIONE</w:t>
      </w:r>
    </w:p>
    <w:p w14:paraId="11BA6987" w14:textId="376F2C8C" w:rsidR="005B2AF8" w:rsidRDefault="005B2AF8" w:rsidP="003C3180">
      <w:pPr>
        <w:jc w:val="both"/>
      </w:pPr>
    </w:p>
    <w:tbl>
      <w:tblPr>
        <w:tblpPr w:leftFromText="141" w:rightFromText="141" w:vertAnchor="text" w:horzAnchor="page" w:tblpX="9397" w:tblpY="1280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"/>
        <w:gridCol w:w="1203"/>
        <w:gridCol w:w="1368"/>
        <w:gridCol w:w="1134"/>
      </w:tblGrid>
      <w:tr w:rsidR="000D1837" w14:paraId="1D977624" w14:textId="77777777" w:rsidTr="000D1837">
        <w:trPr>
          <w:trHeight w:val="290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F01587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6A8FE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dipendenti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E0705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indipendenti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01020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totale</w:t>
            </w:r>
          </w:p>
        </w:tc>
      </w:tr>
      <w:tr w:rsidR="000D1837" w14:paraId="16517255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C06BD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2012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B5B53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B50C0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5A82D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0D1837" w14:paraId="74B88EC6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BF242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99D7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B2071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8880F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0D1837" w14:paraId="073E313F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A2E5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1063E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9404F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4CA9F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0D1837" w14:paraId="31D9AB59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F3FE8C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937B2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A84CD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57DD8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0D1837" w14:paraId="6E85549A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068F540C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2016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7F440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37821551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147884A4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0D1837" w14:paraId="2B195844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0C0B8DA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2017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32464DA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E07E3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14:paraId="712171D8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0D1837" w14:paraId="0A69427A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BF8A8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2018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EF13E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99172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D858D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0D1837" w14:paraId="5AC66A5F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7FB0C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2019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69BBB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11A65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E6DC8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0D1837" w14:paraId="2F52D1FC" w14:textId="77777777" w:rsidTr="000D1837">
        <w:trPr>
          <w:trHeight w:val="290"/>
        </w:trPr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14:paraId="08EB9AC1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2020</w:t>
            </w: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14:paraId="519C823A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CDA0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14:paraId="45858BD9" w14:textId="77777777" w:rsidR="000D1837" w:rsidRDefault="000D1837" w:rsidP="000D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</w:tbl>
    <w:p w14:paraId="0B6556B0" w14:textId="4266467B" w:rsidR="005B2AF8" w:rsidRDefault="005B2AF8" w:rsidP="003C3180">
      <w:pPr>
        <w:jc w:val="both"/>
      </w:pPr>
      <w:r>
        <w:rPr>
          <w:noProof/>
        </w:rPr>
        <w:drawing>
          <wp:inline distT="0" distB="0" distL="0" distR="0" wp14:anchorId="0AAE7063" wp14:editId="78628C25">
            <wp:extent cx="4506351" cy="2743200"/>
            <wp:effectExtent l="0" t="0" r="8890" b="0"/>
            <wp:docPr id="4" name="Grafico 4">
              <a:extLst xmlns:a="http://schemas.openxmlformats.org/drawingml/2006/main">
                <a:ext uri="{FF2B5EF4-FFF2-40B4-BE49-F238E27FC236}">
                  <a16:creationId xmlns:a16="http://schemas.microsoft.com/office/drawing/2014/main" id="{EE143144-2E3D-47B4-832B-AE58C8174E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9574C85" w14:textId="49278225" w:rsidR="00DA679C" w:rsidRDefault="00DA679C" w:rsidP="003C3180">
      <w:pPr>
        <w:jc w:val="both"/>
      </w:pPr>
    </w:p>
    <w:p w14:paraId="3C2A976D" w14:textId="77777777" w:rsidR="00A96C75" w:rsidRDefault="00A96C75" w:rsidP="00A96C75">
      <w:pPr>
        <w:jc w:val="both"/>
      </w:pPr>
    </w:p>
    <w:p w14:paraId="0A5564CA" w14:textId="15B8F969" w:rsidR="00A96C75" w:rsidRDefault="00A96C75" w:rsidP="00A96C75">
      <w:pPr>
        <w:jc w:val="both"/>
      </w:pPr>
      <w:r>
        <w:t xml:space="preserve">Se i dati rendono ancor più evidente </w:t>
      </w:r>
      <w:r w:rsidR="000523BE">
        <w:t xml:space="preserve">di come nel crollo dell’occupazione dei servizi abbiano avuto un ruolo determinante il commercio e i servizi turistici, è tuttavia </w:t>
      </w:r>
      <w:r w:rsidR="00822FE6">
        <w:t>significativo</w:t>
      </w:r>
      <w:r w:rsidR="000523BE">
        <w:t xml:space="preserve"> vedere come questo settore, in particolare quello della </w:t>
      </w:r>
      <w:r>
        <w:t>Ristorazione-Bar</w:t>
      </w:r>
      <w:r w:rsidR="000523BE">
        <w:t>,</w:t>
      </w:r>
      <w:r>
        <w:t xml:space="preserve"> </w:t>
      </w:r>
      <w:r w:rsidRPr="00822FE6">
        <w:rPr>
          <w:u w:val="single"/>
        </w:rPr>
        <w:t xml:space="preserve">sia stato un grande serbatoio di “recupero” di addetti </w:t>
      </w:r>
      <w:r w:rsidR="000523BE" w:rsidRPr="00822FE6">
        <w:rPr>
          <w:u w:val="single"/>
        </w:rPr>
        <w:t>fuoriusciti dal settore</w:t>
      </w:r>
      <w:r w:rsidR="000523BE">
        <w:t xml:space="preserve"> </w:t>
      </w:r>
      <w:r w:rsidR="000523BE" w:rsidRPr="00822FE6">
        <w:rPr>
          <w:u w:val="single"/>
        </w:rPr>
        <w:t xml:space="preserve">industriale, </w:t>
      </w:r>
      <w:r w:rsidRPr="00822FE6">
        <w:rPr>
          <w:u w:val="single"/>
        </w:rPr>
        <w:t>in costanza delle crisi industriali della provincia</w:t>
      </w:r>
      <w:r w:rsidR="00822FE6">
        <w:t xml:space="preserve"> (scaturita con la dichiarazione di area di crisi industriale complessa): </w:t>
      </w:r>
      <w:r>
        <w:t xml:space="preserve">il picco delle attività </w:t>
      </w:r>
      <w:r w:rsidR="000523BE">
        <w:t xml:space="preserve">dei servizi commerciali, bar-ristorazione, turismo </w:t>
      </w:r>
      <w:r>
        <w:t xml:space="preserve">con 33.000 addetti </w:t>
      </w:r>
      <w:r w:rsidR="000523BE">
        <w:t xml:space="preserve">avviene </w:t>
      </w:r>
      <w:r w:rsidR="00D83F2F">
        <w:t xml:space="preserve">proprio </w:t>
      </w:r>
      <w:r>
        <w:t>nel 2016 e nel 2017</w:t>
      </w:r>
      <w:r w:rsidR="000523BE">
        <w:t xml:space="preserve">, in coincidenza con la </w:t>
      </w:r>
      <w:r>
        <w:t>crisi industriale che ha colpito la provincia</w:t>
      </w:r>
      <w:r w:rsidR="000523BE">
        <w:t xml:space="preserve">, </w:t>
      </w:r>
      <w:r w:rsidR="00D83F2F">
        <w:t xml:space="preserve">e </w:t>
      </w:r>
      <w:r w:rsidR="000523BE">
        <w:t>che ha toccato i minimi degli addetti dell’industria proprio tra il 2015 e il 2016. Il settore ha quindi avuto anche l’importante ruolo di svolgere una funzione anticiclica nell’assorbire molti degli a</w:t>
      </w:r>
      <w:r>
        <w:t>ddetti usciti da altri comparti.</w:t>
      </w:r>
      <w:r w:rsidR="00D83F2F">
        <w:t xml:space="preserve"> La pandemia, purtroppo, ha inciso proprio su questo settore.</w:t>
      </w:r>
    </w:p>
    <w:p w14:paraId="54B49121" w14:textId="4A5DEFA7" w:rsidR="000523BE" w:rsidRDefault="000523BE" w:rsidP="00A96C75">
      <w:pPr>
        <w:jc w:val="both"/>
      </w:pPr>
      <w:r>
        <w:t xml:space="preserve">Occorrerà analizzare </w:t>
      </w:r>
      <w:r w:rsidR="00D83F2F">
        <w:t xml:space="preserve">a fondo e con capacità critica </w:t>
      </w:r>
      <w:r>
        <w:t>i dati del 2021</w:t>
      </w:r>
      <w:r w:rsidR="00D83F2F">
        <w:t xml:space="preserve">, </w:t>
      </w:r>
      <w:r>
        <w:t xml:space="preserve">per capire come e quanto il settore sarò stato in grado di </w:t>
      </w:r>
      <w:r w:rsidR="00D83F2F">
        <w:t xml:space="preserve">tenere </w:t>
      </w:r>
      <w:r>
        <w:t>in termini di occupazione</w:t>
      </w:r>
      <w:r w:rsidR="00D83F2F">
        <w:t>,</w:t>
      </w:r>
      <w:r>
        <w:t xml:space="preserve"> a fronte di una stagione “parziale” estiva</w:t>
      </w:r>
      <w:r w:rsidR="00820F5D">
        <w:t xml:space="preserve">, autunnale e invernale, seppure con limitazioni ancora molto pesanti per l’economia del territorio, come l’assenza di numeri rilevanti </w:t>
      </w:r>
      <w:r w:rsidR="00804275">
        <w:t>nel turismo estero</w:t>
      </w:r>
      <w:r w:rsidR="0085183D">
        <w:t xml:space="preserve"> e una capacità di consumo e spesa pro capite depressa per l’incertezza autunnale-invernale</w:t>
      </w:r>
      <w:r w:rsidR="00820F5D">
        <w:t>.</w:t>
      </w:r>
      <w:r w:rsidR="00804275">
        <w:t xml:space="preserve"> </w:t>
      </w:r>
    </w:p>
    <w:p w14:paraId="32912C4B" w14:textId="065D0261" w:rsidR="009C0C48" w:rsidRDefault="009C0C48" w:rsidP="00A96C75">
      <w:pPr>
        <w:jc w:val="both"/>
      </w:pPr>
    </w:p>
    <w:p w14:paraId="4CBAB132" w14:textId="77777777" w:rsidR="00331C81" w:rsidRDefault="00331C81" w:rsidP="00331C81">
      <w:pPr>
        <w:rPr>
          <w:b/>
          <w:bCs/>
        </w:rPr>
      </w:pPr>
    </w:p>
    <w:p w14:paraId="66D37FAA" w14:textId="6BAFA786" w:rsidR="00331C81" w:rsidRDefault="00331C81" w:rsidP="00331C81">
      <w:r w:rsidRPr="008229E3">
        <w:rPr>
          <w:b/>
          <w:bCs/>
        </w:rPr>
        <w:t>Dati</w:t>
      </w:r>
      <w:r>
        <w:rPr>
          <w:b/>
          <w:bCs/>
        </w:rPr>
        <w:t xml:space="preserve"> (aggiornati al 3/12/21)</w:t>
      </w:r>
      <w:r w:rsidRPr="008229E3">
        <w:rPr>
          <w:b/>
          <w:bCs/>
        </w:rPr>
        <w:t xml:space="preserve"> OSSERVATORIO TUR</w:t>
      </w:r>
      <w:r>
        <w:rPr>
          <w:b/>
          <w:bCs/>
        </w:rPr>
        <w:t>I</w:t>
      </w:r>
      <w:r w:rsidRPr="008229E3">
        <w:rPr>
          <w:b/>
          <w:bCs/>
        </w:rPr>
        <w:t>STICO REGIONALE Movimento Turistico 2021 vs 2020 e 2019</w:t>
      </w:r>
    </w:p>
    <w:tbl>
      <w:tblPr>
        <w:tblStyle w:val="Grigliatabella"/>
        <w:tblpPr w:leftFromText="141" w:rightFromText="141" w:vertAnchor="text" w:tblpY="1"/>
        <w:tblOverlap w:val="never"/>
        <w:tblW w:w="14312" w:type="dxa"/>
        <w:tblLook w:val="04A0" w:firstRow="1" w:lastRow="0" w:firstColumn="1" w:lastColumn="0" w:noHBand="0" w:noVBand="1"/>
      </w:tblPr>
      <w:tblGrid>
        <w:gridCol w:w="2263"/>
        <w:gridCol w:w="12049"/>
      </w:tblGrid>
      <w:tr w:rsidR="00331C81" w14:paraId="4A89D960" w14:textId="77777777" w:rsidTr="002E13F0">
        <w:tc>
          <w:tcPr>
            <w:tcW w:w="14312" w:type="dxa"/>
            <w:gridSpan w:val="2"/>
            <w:shd w:val="clear" w:color="auto" w:fill="FFFF00"/>
          </w:tcPr>
          <w:p w14:paraId="5AD578D8" w14:textId="77777777" w:rsidR="00331C81" w:rsidRPr="003306D7" w:rsidRDefault="00331C81" w:rsidP="002E13F0">
            <w:pPr>
              <w:jc w:val="center"/>
              <w:rPr>
                <w:b/>
                <w:bCs/>
              </w:rPr>
            </w:pPr>
            <w:r w:rsidRPr="003306D7">
              <w:rPr>
                <w:b/>
                <w:bCs/>
              </w:rPr>
              <w:t>REGIONE LIGURIA</w:t>
            </w:r>
          </w:p>
        </w:tc>
      </w:tr>
      <w:tr w:rsidR="00331C81" w14:paraId="69CAEDAD" w14:textId="77777777" w:rsidTr="002E13F0">
        <w:tc>
          <w:tcPr>
            <w:tcW w:w="2263" w:type="dxa"/>
          </w:tcPr>
          <w:p w14:paraId="256508B9" w14:textId="77777777" w:rsidR="00331C81" w:rsidRDefault="00331C81" w:rsidP="002E13F0">
            <w:r w:rsidRPr="003306D7">
              <w:rPr>
                <w:b/>
                <w:bCs/>
              </w:rPr>
              <w:t>Arrivi</w:t>
            </w:r>
            <w:r>
              <w:t xml:space="preserve"> anno 2021</w:t>
            </w:r>
          </w:p>
        </w:tc>
        <w:tc>
          <w:tcPr>
            <w:tcW w:w="12049" w:type="dxa"/>
          </w:tcPr>
          <w:p w14:paraId="300C7AAC" w14:textId="4811F596" w:rsidR="00331C81" w:rsidRDefault="00331C81" w:rsidP="002E13F0">
            <w:proofErr w:type="gramStart"/>
            <w:r>
              <w:t>2.873.000  pari</w:t>
            </w:r>
            <w:proofErr w:type="gramEnd"/>
            <w:r>
              <w:t xml:space="preserve"> al  + 30,83% rispetto al 202</w:t>
            </w:r>
            <w:r w:rsidR="00195CB4">
              <w:t>0</w:t>
            </w:r>
          </w:p>
        </w:tc>
      </w:tr>
      <w:tr w:rsidR="00331C81" w14:paraId="466262A6" w14:textId="77777777" w:rsidTr="002E13F0">
        <w:tc>
          <w:tcPr>
            <w:tcW w:w="2263" w:type="dxa"/>
          </w:tcPr>
          <w:p w14:paraId="290CF3D8" w14:textId="77777777" w:rsidR="00331C81" w:rsidRDefault="00331C81" w:rsidP="002E13F0">
            <w:r w:rsidRPr="003306D7">
              <w:rPr>
                <w:b/>
                <w:bCs/>
              </w:rPr>
              <w:t>Presenze</w:t>
            </w:r>
            <w:r>
              <w:t xml:space="preserve"> anno 2021</w:t>
            </w:r>
          </w:p>
        </w:tc>
        <w:tc>
          <w:tcPr>
            <w:tcW w:w="12049" w:type="dxa"/>
          </w:tcPr>
          <w:p w14:paraId="70F371D1" w14:textId="56C6620B" w:rsidR="00331C81" w:rsidRDefault="00331C81" w:rsidP="002E13F0">
            <w:r>
              <w:t>10.093.556 pari al + 28,56% rispetto al 202</w:t>
            </w:r>
            <w:r w:rsidR="00195CB4">
              <w:t>0</w:t>
            </w:r>
          </w:p>
        </w:tc>
      </w:tr>
      <w:tr w:rsidR="00331C81" w14:paraId="16DECB64" w14:textId="77777777" w:rsidTr="002E13F0">
        <w:tc>
          <w:tcPr>
            <w:tcW w:w="14312" w:type="dxa"/>
            <w:gridSpan w:val="2"/>
          </w:tcPr>
          <w:p w14:paraId="476F60BB" w14:textId="77777777" w:rsidR="00331C81" w:rsidRPr="003D399F" w:rsidRDefault="00331C81" w:rsidP="002E13F0">
            <w:pPr>
              <w:rPr>
                <w:b/>
                <w:bCs/>
                <w:i/>
                <w:iCs/>
              </w:rPr>
            </w:pPr>
            <w:r w:rsidRPr="003D399F">
              <w:rPr>
                <w:b/>
                <w:bCs/>
                <w:i/>
                <w:iCs/>
              </w:rPr>
              <w:t>Permanenza media 202</w:t>
            </w:r>
            <w:r>
              <w:rPr>
                <w:b/>
                <w:bCs/>
                <w:i/>
                <w:iCs/>
              </w:rPr>
              <w:t>1:</w:t>
            </w:r>
            <w:r w:rsidRPr="003D399F">
              <w:rPr>
                <w:b/>
                <w:bCs/>
                <w:i/>
                <w:iCs/>
              </w:rPr>
              <w:t xml:space="preserve"> 3,5 giorni; Valore Aggiunto generato 1 miliard</w:t>
            </w:r>
            <w:r>
              <w:rPr>
                <w:b/>
                <w:bCs/>
                <w:i/>
                <w:iCs/>
              </w:rPr>
              <w:t>o</w:t>
            </w:r>
            <w:r w:rsidRPr="003D399F">
              <w:rPr>
                <w:b/>
                <w:bCs/>
                <w:i/>
                <w:iCs/>
              </w:rPr>
              <w:t xml:space="preserve"> e 10 milioni di €</w:t>
            </w:r>
          </w:p>
        </w:tc>
      </w:tr>
    </w:tbl>
    <w:p w14:paraId="7C2D6C8D" w14:textId="77777777" w:rsidR="00331C81" w:rsidRPr="008229E3" w:rsidRDefault="00331C81" w:rsidP="00331C81">
      <w:r>
        <w:br w:type="textWrapping" w:clear="all"/>
      </w:r>
    </w:p>
    <w:tbl>
      <w:tblPr>
        <w:tblStyle w:val="Grigliatabella"/>
        <w:tblpPr w:leftFromText="141" w:rightFromText="141" w:vertAnchor="text" w:tblpY="1"/>
        <w:tblOverlap w:val="never"/>
        <w:tblW w:w="14312" w:type="dxa"/>
        <w:tblLook w:val="04A0" w:firstRow="1" w:lastRow="0" w:firstColumn="1" w:lastColumn="0" w:noHBand="0" w:noVBand="1"/>
      </w:tblPr>
      <w:tblGrid>
        <w:gridCol w:w="2263"/>
        <w:gridCol w:w="12049"/>
      </w:tblGrid>
      <w:tr w:rsidR="00331C81" w14:paraId="25C039E6" w14:textId="77777777" w:rsidTr="002E13F0">
        <w:tc>
          <w:tcPr>
            <w:tcW w:w="14312" w:type="dxa"/>
            <w:gridSpan w:val="2"/>
            <w:shd w:val="clear" w:color="auto" w:fill="FFFF00"/>
          </w:tcPr>
          <w:p w14:paraId="75AA6A62" w14:textId="77777777" w:rsidR="00331C81" w:rsidRPr="003306D7" w:rsidRDefault="00331C81" w:rsidP="002E13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PROVINCIA DI SAVONA</w:t>
            </w:r>
          </w:p>
        </w:tc>
      </w:tr>
      <w:tr w:rsidR="00331C81" w14:paraId="4119646A" w14:textId="77777777" w:rsidTr="002E13F0">
        <w:tc>
          <w:tcPr>
            <w:tcW w:w="2263" w:type="dxa"/>
          </w:tcPr>
          <w:p w14:paraId="5A79EF9D" w14:textId="77777777" w:rsidR="00331C81" w:rsidRDefault="00331C81" w:rsidP="002E13F0">
            <w:r w:rsidRPr="003306D7">
              <w:rPr>
                <w:b/>
                <w:bCs/>
              </w:rPr>
              <w:t>Arrivi</w:t>
            </w:r>
            <w:r>
              <w:t xml:space="preserve"> anno 2021</w:t>
            </w:r>
          </w:p>
        </w:tc>
        <w:tc>
          <w:tcPr>
            <w:tcW w:w="12049" w:type="dxa"/>
          </w:tcPr>
          <w:p w14:paraId="12EA49AE" w14:textId="4E6D6123" w:rsidR="00331C81" w:rsidRDefault="00331C81" w:rsidP="002E13F0">
            <w:proofErr w:type="gramStart"/>
            <w:r>
              <w:t>866.530  pari</w:t>
            </w:r>
            <w:proofErr w:type="gramEnd"/>
            <w:r>
              <w:t xml:space="preserve"> al  + 23,37% rispetto al 202</w:t>
            </w:r>
            <w:r w:rsidR="00195CB4">
              <w:t>0</w:t>
            </w:r>
          </w:p>
        </w:tc>
      </w:tr>
      <w:tr w:rsidR="00331C81" w14:paraId="413C98F3" w14:textId="77777777" w:rsidTr="002E13F0">
        <w:tc>
          <w:tcPr>
            <w:tcW w:w="2263" w:type="dxa"/>
          </w:tcPr>
          <w:p w14:paraId="062E05F0" w14:textId="77777777" w:rsidR="00331C81" w:rsidRDefault="00331C81" w:rsidP="002E13F0">
            <w:r w:rsidRPr="003306D7">
              <w:rPr>
                <w:b/>
                <w:bCs/>
              </w:rPr>
              <w:t>Presenze</w:t>
            </w:r>
            <w:r>
              <w:t xml:space="preserve"> anno 2021</w:t>
            </w:r>
          </w:p>
        </w:tc>
        <w:tc>
          <w:tcPr>
            <w:tcW w:w="12049" w:type="dxa"/>
          </w:tcPr>
          <w:p w14:paraId="2EA669FB" w14:textId="51C35147" w:rsidR="00331C81" w:rsidRDefault="00331C81" w:rsidP="002E13F0">
            <w:r>
              <w:t>3.768.000 pari al + 23,72 % rispetto al 202</w:t>
            </w:r>
            <w:r w:rsidR="00195CB4">
              <w:t>0</w:t>
            </w:r>
          </w:p>
        </w:tc>
      </w:tr>
      <w:tr w:rsidR="00331C81" w14:paraId="2ACE8612" w14:textId="77777777" w:rsidTr="002E13F0">
        <w:tc>
          <w:tcPr>
            <w:tcW w:w="14312" w:type="dxa"/>
            <w:gridSpan w:val="2"/>
          </w:tcPr>
          <w:p w14:paraId="4CC48927" w14:textId="77777777" w:rsidR="00331C81" w:rsidRPr="003D399F" w:rsidRDefault="00331C81" w:rsidP="002E13F0">
            <w:pPr>
              <w:rPr>
                <w:b/>
                <w:bCs/>
                <w:i/>
                <w:iCs/>
              </w:rPr>
            </w:pPr>
            <w:r w:rsidRPr="003D399F">
              <w:rPr>
                <w:b/>
                <w:bCs/>
                <w:i/>
                <w:iCs/>
              </w:rPr>
              <w:t>Permanenza media 20</w:t>
            </w:r>
            <w:r>
              <w:rPr>
                <w:b/>
                <w:bCs/>
                <w:i/>
                <w:iCs/>
              </w:rPr>
              <w:t>2</w:t>
            </w:r>
            <w:r w:rsidRPr="003D399F">
              <w:rPr>
                <w:b/>
                <w:bCs/>
                <w:i/>
                <w:iCs/>
              </w:rPr>
              <w:t>1</w:t>
            </w:r>
            <w:r>
              <w:rPr>
                <w:b/>
                <w:bCs/>
                <w:i/>
                <w:iCs/>
              </w:rPr>
              <w:t>:</w:t>
            </w:r>
            <w:r w:rsidRPr="003D399F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4</w:t>
            </w:r>
            <w:r w:rsidRPr="003D399F">
              <w:rPr>
                <w:b/>
                <w:bCs/>
                <w:i/>
                <w:iCs/>
              </w:rPr>
              <w:t>,</w:t>
            </w:r>
            <w:r>
              <w:rPr>
                <w:b/>
                <w:bCs/>
                <w:i/>
                <w:iCs/>
              </w:rPr>
              <w:t>3</w:t>
            </w:r>
            <w:r w:rsidRPr="003D399F">
              <w:rPr>
                <w:b/>
                <w:bCs/>
                <w:i/>
                <w:iCs/>
              </w:rPr>
              <w:t xml:space="preserve"> giorni; Valore Aggiunto generato </w:t>
            </w:r>
            <w:r>
              <w:rPr>
                <w:b/>
                <w:bCs/>
                <w:i/>
                <w:iCs/>
              </w:rPr>
              <w:t>376 milioni di</w:t>
            </w:r>
            <w:r w:rsidRPr="003D399F">
              <w:rPr>
                <w:b/>
                <w:bCs/>
                <w:i/>
                <w:iCs/>
              </w:rPr>
              <w:t xml:space="preserve"> €</w:t>
            </w:r>
          </w:p>
        </w:tc>
      </w:tr>
      <w:tr w:rsidR="00331C81" w14:paraId="49939B78" w14:textId="77777777" w:rsidTr="002E13F0">
        <w:tc>
          <w:tcPr>
            <w:tcW w:w="14312" w:type="dxa"/>
            <w:gridSpan w:val="2"/>
          </w:tcPr>
          <w:p w14:paraId="4FFA1F67" w14:textId="623E3E63" w:rsidR="00331C81" w:rsidRPr="003D399F" w:rsidRDefault="00331C81" w:rsidP="002E13F0">
            <w:pPr>
              <w:jc w:val="both"/>
              <w:rPr>
                <w:b/>
                <w:bCs/>
                <w:i/>
                <w:iCs/>
              </w:rPr>
            </w:pPr>
            <w:r w:rsidRPr="009A1042">
              <w:rPr>
                <w:b/>
                <w:bCs/>
                <w:i/>
                <w:iCs/>
                <w:u w:val="single"/>
              </w:rPr>
              <w:t xml:space="preserve">Rispetto al </w:t>
            </w:r>
            <w:proofErr w:type="gramStart"/>
            <w:r w:rsidRPr="009A1042">
              <w:rPr>
                <w:b/>
                <w:bCs/>
                <w:i/>
                <w:iCs/>
                <w:u w:val="single"/>
              </w:rPr>
              <w:t>2019</w:t>
            </w:r>
            <w:r>
              <w:rPr>
                <w:b/>
                <w:bCs/>
                <w:i/>
                <w:iCs/>
              </w:rPr>
              <w:t>:  229.000</w:t>
            </w:r>
            <w:proofErr w:type="gramEnd"/>
            <w:r>
              <w:rPr>
                <w:b/>
                <w:bCs/>
                <w:i/>
                <w:iCs/>
              </w:rPr>
              <w:t xml:space="preserve"> arrivi in meno(-20%) e 907.000 presenze in meno(-20%) nel periodo marzo – settembre con una per</w:t>
            </w:r>
            <w:r w:rsidR="00195CB4">
              <w:rPr>
                <w:b/>
                <w:bCs/>
                <w:i/>
                <w:iCs/>
              </w:rPr>
              <w:t>dita</w:t>
            </w:r>
            <w:r>
              <w:rPr>
                <w:b/>
                <w:bCs/>
                <w:i/>
                <w:iCs/>
              </w:rPr>
              <w:t xml:space="preserve"> di valore aggiunto rispetto al 2019 di 90 milioni di €</w:t>
            </w:r>
          </w:p>
        </w:tc>
      </w:tr>
    </w:tbl>
    <w:p w14:paraId="3EC01765" w14:textId="77777777" w:rsidR="00331C81" w:rsidRDefault="00331C81" w:rsidP="00331C81">
      <w:pPr>
        <w:pStyle w:val="Paragrafoelenco"/>
      </w:pPr>
    </w:p>
    <w:p w14:paraId="6A4E5E7F" w14:textId="4CD53FD2" w:rsidR="00331C81" w:rsidRDefault="00331C81" w:rsidP="00331C81">
      <w:pPr>
        <w:pStyle w:val="Paragrafoelenco"/>
        <w:numPr>
          <w:ilvl w:val="0"/>
          <w:numId w:val="5"/>
        </w:numPr>
        <w:jc w:val="both"/>
      </w:pPr>
      <w:r w:rsidRPr="00224B71">
        <w:rPr>
          <w:u w:val="single"/>
        </w:rPr>
        <w:t>Nonostante il buon recupero della stagione 2021</w:t>
      </w:r>
      <w:r w:rsidR="00195CB4">
        <w:rPr>
          <w:u w:val="single"/>
        </w:rPr>
        <w:t>, i</w:t>
      </w:r>
      <w:r w:rsidRPr="00224B71">
        <w:rPr>
          <w:u w:val="single"/>
        </w:rPr>
        <w:t xml:space="preserve">l turismo sta ancora pagando a caro prezzo gli effetti della </w:t>
      </w:r>
      <w:r w:rsidR="00195CB4">
        <w:rPr>
          <w:u w:val="single"/>
        </w:rPr>
        <w:t>p</w:t>
      </w:r>
      <w:r w:rsidRPr="00224B71">
        <w:rPr>
          <w:u w:val="single"/>
        </w:rPr>
        <w:t>andemia continuando a viaggiare a ritmi inferiori a quelli del 2019</w:t>
      </w:r>
      <w:r>
        <w:t xml:space="preserve"> soprattutto a causa del lockdown d’inizio anno (per il secondo anno consecutivo si è persa la Pasqua e i ponti festivi primaverili) e della flessione </w:t>
      </w:r>
      <w:r w:rsidR="002A66B7">
        <w:t xml:space="preserve">molto marcata </w:t>
      </w:r>
      <w:r>
        <w:t>del turismo straniero.</w:t>
      </w:r>
      <w:r w:rsidR="002A66B7">
        <w:t xml:space="preserve"> A ciò occorre unire la minor propensione alla spesa delle persone nel corso del 2021, a fronte della continua incidenza della pandemia e della poca chiarezza sul futuro.</w:t>
      </w:r>
    </w:p>
    <w:p w14:paraId="5B8C220D" w14:textId="78B5F43C" w:rsidR="00331C81" w:rsidRDefault="002A66B7" w:rsidP="00331C81">
      <w:pPr>
        <w:pStyle w:val="Paragrafoelenco"/>
        <w:numPr>
          <w:ilvl w:val="0"/>
          <w:numId w:val="5"/>
        </w:numPr>
        <w:jc w:val="both"/>
      </w:pPr>
      <w:r>
        <w:rPr>
          <w:u w:val="single"/>
        </w:rPr>
        <w:t>Altro dato da tenere in considerazione è che l</w:t>
      </w:r>
      <w:r w:rsidR="00331C81" w:rsidRPr="00821482">
        <w:rPr>
          <w:u w:val="single"/>
        </w:rPr>
        <w:t>’aumento del movimento turistico nel 2021 rispetto al 2020 non è dovuto ad un effetto strutturale di aumento della competitività</w:t>
      </w:r>
      <w:r>
        <w:rPr>
          <w:u w:val="single"/>
        </w:rPr>
        <w:t xml:space="preserve"> della nostra provincia, che, anzi, è stata messa a dura prova dall’arrivo di molti (troppi) turisti rispetto alla capacità di accoglierli con servizi adeguati,</w:t>
      </w:r>
      <w:r w:rsidR="00331C81" w:rsidRPr="00821482">
        <w:rPr>
          <w:u w:val="single"/>
        </w:rPr>
        <w:t xml:space="preserve"> ma ad un effetto rimbalzo post lockdown</w:t>
      </w:r>
      <w:r w:rsidR="00331C81">
        <w:t xml:space="preserve"> sostenuto dal </w:t>
      </w:r>
      <w:r w:rsidR="00331C81" w:rsidRPr="006A636A">
        <w:rPr>
          <w:u w:val="single"/>
        </w:rPr>
        <w:t>movimento interno di prossimità</w:t>
      </w:r>
      <w:r w:rsidR="00331C81">
        <w:t>: i turisti hanno scelto, per ovvi motivi connessi alle conseguenze della pandemia, la destinazione più vicina e sicura</w:t>
      </w:r>
      <w:r w:rsidR="006A636A">
        <w:t xml:space="preserve"> </w:t>
      </w:r>
      <w:r w:rsidR="00331C81">
        <w:t>!</w:t>
      </w:r>
    </w:p>
    <w:p w14:paraId="2A03267D" w14:textId="2173E2C4" w:rsidR="00331C81" w:rsidRPr="008229E3" w:rsidRDefault="00331C81" w:rsidP="00331C81">
      <w:pPr>
        <w:pStyle w:val="Paragrafoelenco"/>
        <w:numPr>
          <w:ilvl w:val="0"/>
          <w:numId w:val="5"/>
        </w:numPr>
        <w:jc w:val="both"/>
      </w:pPr>
      <w:r>
        <w:rPr>
          <w:u w:val="single"/>
        </w:rPr>
        <w:t xml:space="preserve">La provincia di Savona anche nella pandemia </w:t>
      </w:r>
      <w:r w:rsidR="006A636A">
        <w:rPr>
          <w:u w:val="single"/>
        </w:rPr>
        <w:t xml:space="preserve">si conferma </w:t>
      </w:r>
      <w:r w:rsidR="002A66B7">
        <w:rPr>
          <w:u w:val="single"/>
        </w:rPr>
        <w:t xml:space="preserve">– comunque - </w:t>
      </w:r>
      <w:r>
        <w:rPr>
          <w:u w:val="single"/>
        </w:rPr>
        <w:t>la principale provincia turistica della Liguria</w:t>
      </w:r>
      <w:r>
        <w:t xml:space="preserve"> con 3.768.000 presenze contro i 2.574.000 della provincia di GE, i 1.998.000 d’Imperia e 1.752.000 di Spezia.</w:t>
      </w:r>
    </w:p>
    <w:p w14:paraId="55E8541D" w14:textId="77777777" w:rsidR="00331C81" w:rsidRDefault="00331C81" w:rsidP="00331C81"/>
    <w:p w14:paraId="06F828C5" w14:textId="77777777" w:rsidR="00331C81" w:rsidRDefault="00331C81" w:rsidP="00A96C75">
      <w:pPr>
        <w:jc w:val="both"/>
        <w:rPr>
          <w:b/>
          <w:bCs/>
        </w:rPr>
      </w:pPr>
    </w:p>
    <w:p w14:paraId="19D6DC9F" w14:textId="5B8AEDED" w:rsidR="00817261" w:rsidRDefault="00817261">
      <w:pPr>
        <w:rPr>
          <w:b/>
          <w:bCs/>
        </w:rPr>
      </w:pPr>
      <w:r>
        <w:rPr>
          <w:b/>
          <w:bCs/>
        </w:rPr>
        <w:br w:type="page"/>
      </w:r>
    </w:p>
    <w:p w14:paraId="108FEDD1" w14:textId="0594528D" w:rsidR="009C0C48" w:rsidRPr="002C24C7" w:rsidRDefault="009C0C48" w:rsidP="00A96C75">
      <w:pPr>
        <w:jc w:val="both"/>
        <w:rPr>
          <w:b/>
          <w:bCs/>
        </w:rPr>
      </w:pPr>
      <w:r w:rsidRPr="009C0C48">
        <w:rPr>
          <w:b/>
          <w:bCs/>
        </w:rPr>
        <w:lastRenderedPageBreak/>
        <w:t>EXPORT</w:t>
      </w:r>
      <w:r w:rsidR="002C24C7">
        <w:rPr>
          <w:b/>
          <w:bCs/>
        </w:rPr>
        <w:t xml:space="preserve"> PROVINCIALE</w:t>
      </w:r>
      <w:r w:rsidR="00331C81">
        <w:rPr>
          <w:b/>
          <w:bCs/>
        </w:rPr>
        <w:t xml:space="preserve"> (dati CCIAA Riviere di Liguria)</w:t>
      </w:r>
    </w:p>
    <w:p w14:paraId="04730225" w14:textId="69732170" w:rsidR="009C0C48" w:rsidRPr="00795724" w:rsidRDefault="009C0C48" w:rsidP="002C24C7">
      <w:pPr>
        <w:jc w:val="both"/>
        <w:rPr>
          <w:rFonts w:eastAsia="Times New Roman" w:cstheme="minorHAnsi"/>
          <w:lang w:eastAsia="it-IT"/>
        </w:rPr>
      </w:pPr>
      <w:r w:rsidRPr="00795724">
        <w:rPr>
          <w:rFonts w:eastAsia="Times New Roman" w:cstheme="minorHAnsi"/>
          <w:lang w:eastAsia="it-IT"/>
        </w:rPr>
        <w:t xml:space="preserve">I </w:t>
      </w:r>
      <w:r w:rsidRPr="00795724">
        <w:rPr>
          <w:rFonts w:cstheme="minorHAnsi"/>
        </w:rPr>
        <w:t>dati</w:t>
      </w:r>
      <w:r w:rsidRPr="00795724">
        <w:rPr>
          <w:rFonts w:eastAsia="Times New Roman" w:cstheme="minorHAnsi"/>
          <w:lang w:eastAsia="it-IT"/>
        </w:rPr>
        <w:t xml:space="preserve"> sull’export provinciale sono, al momento, disponibili solo per i primi </w:t>
      </w:r>
      <w:r w:rsidR="00692511" w:rsidRPr="00795724">
        <w:rPr>
          <w:rFonts w:eastAsia="Times New Roman" w:cstheme="minorHAnsi"/>
          <w:lang w:eastAsia="it-IT"/>
        </w:rPr>
        <w:t>nove</w:t>
      </w:r>
      <w:r w:rsidRPr="00795724">
        <w:rPr>
          <w:rFonts w:eastAsia="Times New Roman" w:cstheme="minorHAnsi"/>
          <w:lang w:eastAsia="it-IT"/>
        </w:rPr>
        <w:t xml:space="preserve"> mesi del 2021</w:t>
      </w:r>
      <w:r w:rsidR="00692511" w:rsidRPr="00795724">
        <w:rPr>
          <w:rFonts w:eastAsia="Times New Roman" w:cstheme="minorHAnsi"/>
          <w:lang w:eastAsia="it-IT"/>
        </w:rPr>
        <w:t xml:space="preserve"> e con dati molto provvisori</w:t>
      </w:r>
      <w:r w:rsidRPr="00795724">
        <w:rPr>
          <w:rFonts w:eastAsia="Times New Roman" w:cstheme="minorHAnsi"/>
          <w:lang w:eastAsia="it-IT"/>
        </w:rPr>
        <w:t>.</w:t>
      </w:r>
      <w:r w:rsidR="00427D37">
        <w:rPr>
          <w:rFonts w:eastAsia="Times New Roman" w:cstheme="minorHAnsi"/>
          <w:lang w:eastAsia="it-IT"/>
        </w:rPr>
        <w:t xml:space="preserve"> </w:t>
      </w:r>
      <w:r w:rsidRPr="00795724">
        <w:rPr>
          <w:rFonts w:eastAsia="Times New Roman" w:cstheme="minorHAnsi"/>
          <w:lang w:eastAsia="it-IT"/>
        </w:rPr>
        <w:t>Rispetto a</w:t>
      </w:r>
      <w:r w:rsidR="00331C81">
        <w:rPr>
          <w:rFonts w:eastAsia="Times New Roman" w:cstheme="minorHAnsi"/>
          <w:lang w:eastAsia="it-IT"/>
        </w:rPr>
        <w:t>i primi nove mesi</w:t>
      </w:r>
      <w:r w:rsidRPr="00795724">
        <w:rPr>
          <w:rFonts w:eastAsia="Times New Roman" w:cstheme="minorHAnsi"/>
          <w:lang w:eastAsia="it-IT"/>
        </w:rPr>
        <w:t xml:space="preserve">, in cui, nonostante il parziale lockdown nazionale ed estero, i dati davano una crescita consistente rispetto ai primi </w:t>
      </w:r>
      <w:r w:rsidR="00331C81">
        <w:rPr>
          <w:rFonts w:eastAsia="Times New Roman" w:cstheme="minorHAnsi"/>
          <w:lang w:eastAsia="it-IT"/>
        </w:rPr>
        <w:t>nove mesi</w:t>
      </w:r>
      <w:r w:rsidRPr="00795724">
        <w:rPr>
          <w:rFonts w:eastAsia="Times New Roman" w:cstheme="minorHAnsi"/>
          <w:lang w:eastAsia="it-IT"/>
        </w:rPr>
        <w:t xml:space="preserve"> del 2020, sul</w:t>
      </w:r>
      <w:r w:rsidR="00331C81">
        <w:rPr>
          <w:rFonts w:eastAsia="Times New Roman" w:cstheme="minorHAnsi"/>
          <w:lang w:eastAsia="it-IT"/>
        </w:rPr>
        <w:t>l’ultimo quarto del 2021</w:t>
      </w:r>
      <w:r w:rsidRPr="00795724">
        <w:rPr>
          <w:rFonts w:eastAsia="Times New Roman" w:cstheme="minorHAnsi"/>
          <w:lang w:eastAsia="it-IT"/>
        </w:rPr>
        <w:t xml:space="preserve"> pesano la carenza</w:t>
      </w:r>
      <w:r w:rsidR="00331C81">
        <w:rPr>
          <w:rFonts w:eastAsia="Times New Roman" w:cstheme="minorHAnsi"/>
          <w:lang w:eastAsia="it-IT"/>
        </w:rPr>
        <w:t xml:space="preserve"> delle materie primi, i ritardi</w:t>
      </w:r>
      <w:r w:rsidRPr="00795724">
        <w:rPr>
          <w:rFonts w:eastAsia="Times New Roman" w:cstheme="minorHAnsi"/>
          <w:lang w:eastAsia="it-IT"/>
        </w:rPr>
        <w:t xml:space="preserve"> nelle </w:t>
      </w:r>
      <w:r w:rsidRPr="00795724">
        <w:rPr>
          <w:rFonts w:cstheme="minorHAnsi"/>
        </w:rPr>
        <w:t>consegne</w:t>
      </w:r>
      <w:r w:rsidRPr="00795724">
        <w:rPr>
          <w:rFonts w:eastAsia="Times New Roman" w:cstheme="minorHAnsi"/>
          <w:lang w:eastAsia="it-IT"/>
        </w:rPr>
        <w:t xml:space="preserve"> </w:t>
      </w:r>
      <w:r w:rsidR="00331C81">
        <w:rPr>
          <w:rFonts w:eastAsia="Times New Roman" w:cstheme="minorHAnsi"/>
          <w:lang w:eastAsia="it-IT"/>
        </w:rPr>
        <w:t>in import dei semilavorati</w:t>
      </w:r>
      <w:r w:rsidRPr="00795724">
        <w:rPr>
          <w:rFonts w:eastAsia="Times New Roman" w:cstheme="minorHAnsi"/>
          <w:lang w:eastAsia="it-IT"/>
        </w:rPr>
        <w:t xml:space="preserve">, </w:t>
      </w:r>
      <w:r w:rsidR="00331C81">
        <w:rPr>
          <w:rFonts w:eastAsia="Times New Roman" w:cstheme="minorHAnsi"/>
          <w:lang w:eastAsia="it-IT"/>
        </w:rPr>
        <w:t>l’aumento de</w:t>
      </w:r>
      <w:r w:rsidRPr="00795724">
        <w:rPr>
          <w:rFonts w:eastAsia="Times New Roman" w:cstheme="minorHAnsi"/>
          <w:lang w:eastAsia="it-IT"/>
        </w:rPr>
        <w:t xml:space="preserve">i costi </w:t>
      </w:r>
      <w:r w:rsidR="00331C81">
        <w:rPr>
          <w:rFonts w:eastAsia="Times New Roman" w:cstheme="minorHAnsi"/>
          <w:lang w:eastAsia="it-IT"/>
        </w:rPr>
        <w:t xml:space="preserve">energetici, l’aumento dei noli marittimi, il </w:t>
      </w:r>
      <w:r w:rsidRPr="00795724">
        <w:rPr>
          <w:rFonts w:eastAsia="Times New Roman" w:cstheme="minorHAnsi"/>
          <w:lang w:eastAsia="it-IT"/>
        </w:rPr>
        <w:t>contingentament</w:t>
      </w:r>
      <w:r w:rsidR="00026F02">
        <w:rPr>
          <w:rFonts w:eastAsia="Times New Roman" w:cstheme="minorHAnsi"/>
          <w:lang w:eastAsia="it-IT"/>
        </w:rPr>
        <w:t>o</w:t>
      </w:r>
      <w:r w:rsidRPr="00795724">
        <w:rPr>
          <w:rFonts w:eastAsia="Times New Roman" w:cstheme="minorHAnsi"/>
          <w:lang w:eastAsia="it-IT"/>
        </w:rPr>
        <w:t xml:space="preserve"> </w:t>
      </w:r>
      <w:r w:rsidR="00026F02">
        <w:rPr>
          <w:rFonts w:eastAsia="Times New Roman" w:cstheme="minorHAnsi"/>
          <w:lang w:eastAsia="it-IT"/>
        </w:rPr>
        <w:t xml:space="preserve">su meno navi </w:t>
      </w:r>
      <w:r w:rsidRPr="00795724">
        <w:rPr>
          <w:rFonts w:eastAsia="Times New Roman" w:cstheme="minorHAnsi"/>
          <w:lang w:eastAsia="it-IT"/>
        </w:rPr>
        <w:t xml:space="preserve">dei trasporti marittimi, il blocco di alcune produzioni del sud est asiatico a causa di recrudescenze della pandemia. </w:t>
      </w:r>
    </w:p>
    <w:p w14:paraId="07FC75F8" w14:textId="4CE01A8E" w:rsidR="00692511" w:rsidRPr="00795724" w:rsidRDefault="009C0C48" w:rsidP="00427D37">
      <w:pPr>
        <w:jc w:val="both"/>
        <w:rPr>
          <w:rFonts w:eastAsia="Times New Roman" w:cstheme="minorHAnsi"/>
          <w:lang w:eastAsia="it-IT"/>
        </w:rPr>
      </w:pPr>
      <w:r w:rsidRPr="007C12C5">
        <w:rPr>
          <w:rFonts w:eastAsia="Times New Roman" w:cstheme="minorHAnsi"/>
          <w:lang w:eastAsia="it-IT"/>
        </w:rPr>
        <w:t>Tuttavia</w:t>
      </w:r>
      <w:r w:rsidRPr="00331C81">
        <w:rPr>
          <w:rFonts w:eastAsia="Times New Roman" w:cstheme="minorHAnsi"/>
          <w:b/>
          <w:bCs/>
          <w:lang w:eastAsia="it-IT"/>
        </w:rPr>
        <w:t>, il trend sostanziale sembra confermare</w:t>
      </w:r>
      <w:r w:rsidRPr="00795724">
        <w:rPr>
          <w:rFonts w:eastAsia="Times New Roman" w:cstheme="minorHAnsi"/>
          <w:lang w:eastAsia="it-IT"/>
        </w:rPr>
        <w:t xml:space="preserve"> </w:t>
      </w:r>
      <w:r w:rsidRPr="00331C81">
        <w:rPr>
          <w:rFonts w:eastAsia="Times New Roman" w:cstheme="minorHAnsi"/>
          <w:b/>
          <w:bCs/>
          <w:lang w:eastAsia="it-IT"/>
        </w:rPr>
        <w:t>che</w:t>
      </w:r>
      <w:r w:rsidRPr="00795724">
        <w:rPr>
          <w:rFonts w:eastAsia="Times New Roman" w:cstheme="minorHAnsi"/>
          <w:lang w:eastAsia="it-IT"/>
        </w:rPr>
        <w:t xml:space="preserve">, dopo la battuta di arresto del 2020, </w:t>
      </w:r>
      <w:r w:rsidRPr="00331C81">
        <w:rPr>
          <w:rFonts w:eastAsia="Times New Roman" w:cstheme="minorHAnsi"/>
          <w:b/>
          <w:bCs/>
          <w:lang w:eastAsia="it-IT"/>
        </w:rPr>
        <w:t xml:space="preserve">il 2021 possa tornare sui livelli </w:t>
      </w:r>
      <w:r w:rsidRPr="00331C81">
        <w:rPr>
          <w:rFonts w:cstheme="minorHAnsi"/>
          <w:b/>
          <w:bCs/>
        </w:rPr>
        <w:t>del</w:t>
      </w:r>
      <w:r w:rsidRPr="00331C81">
        <w:rPr>
          <w:rFonts w:eastAsia="Times New Roman" w:cstheme="minorHAnsi"/>
          <w:b/>
          <w:bCs/>
          <w:lang w:eastAsia="it-IT"/>
        </w:rPr>
        <w:t xml:space="preserve"> 2019</w:t>
      </w:r>
      <w:r w:rsidRPr="00795724">
        <w:rPr>
          <w:rFonts w:eastAsia="Times New Roman" w:cstheme="minorHAnsi"/>
          <w:lang w:eastAsia="it-IT"/>
        </w:rPr>
        <w:t>, a dimostrazione di una forte ripresa dell’industria manifatturiera</w:t>
      </w:r>
      <w:r w:rsidR="00692511" w:rsidRPr="00795724">
        <w:rPr>
          <w:rFonts w:eastAsia="Times New Roman" w:cstheme="minorHAnsi"/>
          <w:lang w:eastAsia="it-IT"/>
        </w:rPr>
        <w:t>, anche alla luce dell’aumento delle importazioni, in vista della loro trasformazione, di oltre il 23% rispetto allo stesso periodo del 2020</w:t>
      </w:r>
      <w:r w:rsidRPr="00795724">
        <w:rPr>
          <w:rFonts w:eastAsia="Times New Roman" w:cstheme="minorHAnsi"/>
          <w:lang w:eastAsia="it-IT"/>
        </w:rPr>
        <w:t>.</w:t>
      </w:r>
      <w:r w:rsidR="000D1837">
        <w:rPr>
          <w:rFonts w:eastAsia="Times New Roman" w:cstheme="minorHAnsi"/>
          <w:lang w:eastAsia="it-IT"/>
        </w:rPr>
        <w:t xml:space="preserve"> </w:t>
      </w:r>
      <w:r w:rsidR="00692511" w:rsidRPr="00795724">
        <w:rPr>
          <w:rFonts w:eastAsia="Times New Roman" w:cstheme="minorHAnsi"/>
          <w:lang w:eastAsia="it-IT"/>
        </w:rPr>
        <w:t xml:space="preserve">Nei primi nove mesi dell’anno i dati provvisori dell’export provinciale indicano una crescita del 10,2 % rispetto al 2020, anno nel quale l’export </w:t>
      </w:r>
      <w:r w:rsidR="002C24C7" w:rsidRPr="00795724">
        <w:rPr>
          <w:rFonts w:eastAsia="Times New Roman" w:cstheme="minorHAnsi"/>
          <w:lang w:eastAsia="it-IT"/>
        </w:rPr>
        <w:t>è crollato,</w:t>
      </w:r>
      <w:r w:rsidR="00692511" w:rsidRPr="00795724">
        <w:rPr>
          <w:rFonts w:eastAsia="Times New Roman" w:cstheme="minorHAnsi"/>
          <w:lang w:eastAsia="it-IT"/>
        </w:rPr>
        <w:t xml:space="preserve"> con un aumento da 1.057 milioni di </w:t>
      </w:r>
      <w:r w:rsidR="002C24C7" w:rsidRPr="00795724">
        <w:rPr>
          <w:rFonts w:eastAsia="Times New Roman" w:cstheme="minorHAnsi"/>
          <w:lang w:eastAsia="it-IT"/>
        </w:rPr>
        <w:t>euro</w:t>
      </w:r>
      <w:r w:rsidR="00692511" w:rsidRPr="00795724">
        <w:rPr>
          <w:rFonts w:eastAsia="Times New Roman" w:cstheme="minorHAnsi"/>
          <w:lang w:eastAsia="it-IT"/>
        </w:rPr>
        <w:t xml:space="preserve"> a 1.165 milioni di </w:t>
      </w:r>
      <w:r w:rsidR="002C24C7" w:rsidRPr="00795724">
        <w:rPr>
          <w:rFonts w:eastAsia="Times New Roman" w:cstheme="minorHAnsi"/>
          <w:lang w:eastAsia="it-IT"/>
        </w:rPr>
        <w:t>euro, mentre il 2019 si era attestato a 1.106 milioni di euro. Per cui se il trend venisse confermato il 2020 potrebbe attestarsi sui medesimi valori del 2019</w:t>
      </w:r>
      <w:r w:rsidR="00331C81">
        <w:rPr>
          <w:rFonts w:eastAsia="Times New Roman" w:cstheme="minorHAnsi"/>
          <w:lang w:eastAsia="it-IT"/>
        </w:rPr>
        <w:t>,</w:t>
      </w:r>
      <w:r w:rsidR="002C24C7" w:rsidRPr="00795724">
        <w:rPr>
          <w:rFonts w:eastAsia="Times New Roman" w:cstheme="minorHAnsi"/>
          <w:lang w:eastAsia="it-IT"/>
        </w:rPr>
        <w:t xml:space="preserve"> se non migliori</w:t>
      </w:r>
      <w:r w:rsidR="00427D37">
        <w:rPr>
          <w:rFonts w:eastAsia="Times New Roman" w:cstheme="minorHAnsi"/>
          <w:lang w:eastAsia="it-IT"/>
        </w:rPr>
        <w:t xml:space="preserve">, tenendo, </w:t>
      </w:r>
      <w:r w:rsidR="007C12C5">
        <w:rPr>
          <w:rFonts w:eastAsia="Times New Roman" w:cstheme="minorHAnsi"/>
          <w:lang w:eastAsia="it-IT"/>
        </w:rPr>
        <w:t>pur sempre,</w:t>
      </w:r>
      <w:r w:rsidR="00427D37">
        <w:rPr>
          <w:rFonts w:eastAsia="Times New Roman" w:cstheme="minorHAnsi"/>
          <w:lang w:eastAsia="it-IT"/>
        </w:rPr>
        <w:t xml:space="preserve"> presente che </w:t>
      </w:r>
      <w:r w:rsidR="00331C81">
        <w:rPr>
          <w:rFonts w:eastAsia="Times New Roman" w:cstheme="minorHAnsi"/>
          <w:lang w:eastAsia="it-IT"/>
        </w:rPr>
        <w:t>l’ultimo trimestre pesa, di norma</w:t>
      </w:r>
      <w:r w:rsidR="00427D37">
        <w:rPr>
          <w:rFonts w:eastAsia="Times New Roman" w:cstheme="minorHAnsi"/>
          <w:lang w:eastAsia="it-IT"/>
        </w:rPr>
        <w:t>, un terzo del valore annuale.</w:t>
      </w:r>
    </w:p>
    <w:p w14:paraId="3CEBDCFA" w14:textId="306EF3A6" w:rsidR="002C24C7" w:rsidRPr="00795724" w:rsidRDefault="002C24C7" w:rsidP="009C0C48">
      <w:pPr>
        <w:spacing w:after="0" w:line="240" w:lineRule="auto"/>
        <w:rPr>
          <w:rFonts w:eastAsia="Times New Roman" w:cstheme="minorHAnsi"/>
          <w:lang w:eastAsia="it-IT"/>
        </w:rPr>
      </w:pPr>
    </w:p>
    <w:p w14:paraId="543944BA" w14:textId="5E4F5251" w:rsidR="002C24C7" w:rsidRPr="00795724" w:rsidRDefault="00795724" w:rsidP="009C0C48">
      <w:pPr>
        <w:spacing w:after="0" w:line="240" w:lineRule="auto"/>
        <w:rPr>
          <w:rFonts w:eastAsia="Times New Roman" w:cstheme="minorHAnsi"/>
          <w:b/>
          <w:bCs/>
          <w:lang w:eastAsia="it-IT"/>
        </w:rPr>
      </w:pPr>
      <w:r w:rsidRPr="00795724">
        <w:rPr>
          <w:rFonts w:eastAsia="Times New Roman" w:cstheme="minorHAnsi"/>
          <w:b/>
          <w:bCs/>
          <w:lang w:eastAsia="it-IT"/>
        </w:rPr>
        <w:t>PORTI DI SAVONA E VADO</w:t>
      </w:r>
      <w:r w:rsidR="00331C81">
        <w:rPr>
          <w:rFonts w:eastAsia="Times New Roman" w:cstheme="minorHAnsi"/>
          <w:b/>
          <w:bCs/>
          <w:lang w:eastAsia="it-IT"/>
        </w:rPr>
        <w:t xml:space="preserve"> (dati </w:t>
      </w:r>
      <w:proofErr w:type="spellStart"/>
      <w:r w:rsidR="00331C81">
        <w:rPr>
          <w:rFonts w:eastAsia="Times New Roman" w:cstheme="minorHAnsi"/>
          <w:b/>
          <w:bCs/>
          <w:lang w:eastAsia="it-IT"/>
        </w:rPr>
        <w:t>AdSP</w:t>
      </w:r>
      <w:proofErr w:type="spellEnd"/>
      <w:r w:rsidR="00331C81">
        <w:rPr>
          <w:rFonts w:eastAsia="Times New Roman" w:cstheme="minorHAnsi"/>
          <w:b/>
          <w:bCs/>
          <w:lang w:eastAsia="it-IT"/>
        </w:rPr>
        <w:t xml:space="preserve"> Mar Ligure Occidentale)</w:t>
      </w:r>
    </w:p>
    <w:p w14:paraId="276E737E" w14:textId="77777777" w:rsidR="002C24C7" w:rsidRPr="00795724" w:rsidRDefault="002C24C7" w:rsidP="009C0C48">
      <w:pPr>
        <w:spacing w:after="0" w:line="240" w:lineRule="auto"/>
        <w:rPr>
          <w:rFonts w:eastAsia="Times New Roman" w:cstheme="minorHAnsi"/>
          <w:lang w:eastAsia="it-IT"/>
        </w:rPr>
      </w:pPr>
    </w:p>
    <w:p w14:paraId="717EB038" w14:textId="23C151E3" w:rsidR="00795724" w:rsidRDefault="00861C11" w:rsidP="000D1837">
      <w:pPr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I dati delle tonnellate di merci movimentate nei porti di Savona e Vado Ligure</w:t>
      </w:r>
      <w:r w:rsidR="00795724">
        <w:rPr>
          <w:rFonts w:eastAsia="Times New Roman" w:cstheme="minorHAnsi"/>
          <w:lang w:eastAsia="it-IT"/>
        </w:rPr>
        <w:t xml:space="preserve"> segnano valori positivi rispetto al 2020.</w:t>
      </w:r>
      <w:r w:rsidR="000D1837">
        <w:rPr>
          <w:rFonts w:eastAsia="Times New Roman" w:cstheme="minorHAnsi"/>
          <w:lang w:eastAsia="it-IT"/>
        </w:rPr>
        <w:t xml:space="preserve"> </w:t>
      </w:r>
      <w:r w:rsidR="009C0C48" w:rsidRPr="009C0C48">
        <w:rPr>
          <w:rFonts w:eastAsia="Times New Roman" w:cstheme="minorHAnsi"/>
          <w:lang w:eastAsia="it-IT"/>
        </w:rPr>
        <w:t>A settembre 2021</w:t>
      </w:r>
      <w:r w:rsidR="00795724">
        <w:rPr>
          <w:rFonts w:eastAsia="Times New Roman" w:cstheme="minorHAnsi"/>
          <w:lang w:eastAsia="it-IT"/>
        </w:rPr>
        <w:t>,</w:t>
      </w:r>
      <w:r w:rsidR="009C0C48" w:rsidRPr="009C0C48">
        <w:rPr>
          <w:rFonts w:eastAsia="Times New Roman" w:cstheme="minorHAnsi"/>
          <w:lang w:eastAsia="it-IT"/>
        </w:rPr>
        <w:t xml:space="preserve"> i dati </w:t>
      </w:r>
      <w:r w:rsidR="00795724">
        <w:rPr>
          <w:rFonts w:eastAsia="Times New Roman" w:cstheme="minorHAnsi"/>
          <w:lang w:eastAsia="it-IT"/>
        </w:rPr>
        <w:t xml:space="preserve">delle merci </w:t>
      </w:r>
      <w:r>
        <w:rPr>
          <w:rFonts w:eastAsia="Times New Roman" w:cstheme="minorHAnsi"/>
          <w:lang w:eastAsia="it-IT"/>
        </w:rPr>
        <w:t>sono allineati con quelli del 2019</w:t>
      </w:r>
      <w:r w:rsidR="00795724">
        <w:rPr>
          <w:rFonts w:eastAsia="Times New Roman" w:cstheme="minorHAnsi"/>
          <w:lang w:eastAsia="it-IT"/>
        </w:rPr>
        <w:t>, con un recupero di oltre il 15% sul 2020.</w:t>
      </w:r>
      <w:r>
        <w:rPr>
          <w:rFonts w:eastAsia="Times New Roman" w:cstheme="minorHAnsi"/>
          <w:lang w:eastAsia="it-IT"/>
        </w:rPr>
        <w:t xml:space="preserve"> Tuttavia, non si tratta di un recupero puro e semplice, ma differenti sono le merceologie che hanno spinto il traffico portuale dei nostri porti. A </w:t>
      </w:r>
      <w:r w:rsidR="00795724">
        <w:rPr>
          <w:rFonts w:eastAsia="Times New Roman" w:cstheme="minorHAnsi"/>
          <w:lang w:eastAsia="it-IT"/>
        </w:rPr>
        <w:t>febbraio 2020 è entrato in funzione il terminal di Vado Ligure</w:t>
      </w:r>
      <w:r>
        <w:rPr>
          <w:rFonts w:eastAsia="Times New Roman" w:cstheme="minorHAnsi"/>
          <w:lang w:eastAsia="it-IT"/>
        </w:rPr>
        <w:t xml:space="preserve"> e, come si vedrà, gli effetti sul traffico 2021 risentono, molto, del dato di Vado Gateway</w:t>
      </w:r>
      <w:r w:rsidR="00795724">
        <w:rPr>
          <w:rFonts w:eastAsia="Times New Roman" w:cstheme="minorHAnsi"/>
          <w:lang w:eastAsia="it-IT"/>
        </w:rPr>
        <w:t>.</w:t>
      </w:r>
    </w:p>
    <w:p w14:paraId="4F14FBE7" w14:textId="37BE7887" w:rsidR="00795724" w:rsidRDefault="00795724" w:rsidP="009C0C48">
      <w:pPr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Scontato il recupero sul 2020, una più approfondita lettura ci fornisce i seguenti </w:t>
      </w:r>
      <w:r w:rsidR="00861C11">
        <w:rPr>
          <w:rFonts w:eastAsia="Times New Roman" w:cstheme="minorHAnsi"/>
          <w:lang w:eastAsia="it-IT"/>
        </w:rPr>
        <w:t>indicatori</w:t>
      </w:r>
      <w:r>
        <w:rPr>
          <w:rFonts w:eastAsia="Times New Roman" w:cstheme="minorHAnsi"/>
          <w:lang w:eastAsia="it-IT"/>
        </w:rPr>
        <w:t>:</w:t>
      </w:r>
    </w:p>
    <w:p w14:paraId="5EFD079D" w14:textId="77777777" w:rsidR="00795724" w:rsidRDefault="00795724" w:rsidP="009C0C48">
      <w:pPr>
        <w:spacing w:after="0" w:line="240" w:lineRule="auto"/>
        <w:rPr>
          <w:rFonts w:eastAsia="Times New Roman" w:cstheme="minorHAnsi"/>
          <w:lang w:eastAsia="it-IT"/>
        </w:rPr>
      </w:pPr>
    </w:p>
    <w:p w14:paraId="5DD6D818" w14:textId="38436751" w:rsidR="00BC470B" w:rsidRDefault="00795724" w:rsidP="00861C11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861C11">
        <w:rPr>
          <w:rFonts w:eastAsia="Times New Roman" w:cstheme="minorHAnsi"/>
          <w:lang w:eastAsia="it-IT"/>
        </w:rPr>
        <w:t xml:space="preserve">Le rinfuse liquide perdono 600.000 tonnellate tra il 2019 e il 2021, a causa di un minor consumo di </w:t>
      </w:r>
      <w:r w:rsidR="00861C11">
        <w:rPr>
          <w:rFonts w:eastAsia="Times New Roman" w:cstheme="minorHAnsi"/>
          <w:lang w:eastAsia="it-IT"/>
        </w:rPr>
        <w:t xml:space="preserve">idrocarburi, anche se, gli investimenti in corso e previsti </w:t>
      </w:r>
      <w:r w:rsidRPr="00861C11">
        <w:rPr>
          <w:rFonts w:eastAsia="Times New Roman" w:cstheme="minorHAnsi"/>
          <w:lang w:eastAsia="it-IT"/>
        </w:rPr>
        <w:t>dovrebbero</w:t>
      </w:r>
      <w:r w:rsidR="00BC470B" w:rsidRPr="00861C11">
        <w:rPr>
          <w:rFonts w:eastAsia="Times New Roman" w:cstheme="minorHAnsi"/>
          <w:lang w:eastAsia="it-IT"/>
        </w:rPr>
        <w:t xml:space="preserve"> portare il polo savonese a essere uno dei principali protagonisti </w:t>
      </w:r>
      <w:r w:rsidR="00861C11">
        <w:rPr>
          <w:rFonts w:eastAsia="Times New Roman" w:cstheme="minorHAnsi"/>
          <w:lang w:eastAsia="it-IT"/>
        </w:rPr>
        <w:t xml:space="preserve">mediterranei </w:t>
      </w:r>
      <w:r w:rsidR="00BC470B" w:rsidRPr="00861C11">
        <w:rPr>
          <w:rFonts w:eastAsia="Times New Roman" w:cstheme="minorHAnsi"/>
          <w:lang w:eastAsia="it-IT"/>
        </w:rPr>
        <w:t xml:space="preserve">dello sbarco e imbarco, permettendo di compensare i minori consumi. </w:t>
      </w:r>
      <w:r w:rsidR="00861C11">
        <w:rPr>
          <w:rFonts w:eastAsia="Times New Roman" w:cstheme="minorHAnsi"/>
          <w:lang w:eastAsia="it-IT"/>
        </w:rPr>
        <w:t xml:space="preserve">Il </w:t>
      </w:r>
      <w:r w:rsidR="00BC470B" w:rsidRPr="00861C11">
        <w:rPr>
          <w:rFonts w:eastAsia="Times New Roman" w:cstheme="minorHAnsi"/>
          <w:lang w:eastAsia="it-IT"/>
        </w:rPr>
        <w:t>traffico si attesta</w:t>
      </w:r>
      <w:r w:rsidR="00861C11">
        <w:rPr>
          <w:rFonts w:eastAsia="Times New Roman" w:cstheme="minorHAnsi"/>
          <w:lang w:eastAsia="it-IT"/>
        </w:rPr>
        <w:t>, comunque, a settembre</w:t>
      </w:r>
      <w:r w:rsidR="00BC470B" w:rsidRPr="00861C11">
        <w:rPr>
          <w:rFonts w:eastAsia="Times New Roman" w:cstheme="minorHAnsi"/>
          <w:lang w:eastAsia="it-IT"/>
        </w:rPr>
        <w:t xml:space="preserve"> intorno a 4 milioni di tonnellate</w:t>
      </w:r>
      <w:r w:rsidR="00861C11">
        <w:rPr>
          <w:rFonts w:eastAsia="Times New Roman" w:cstheme="minorHAnsi"/>
          <w:lang w:eastAsia="it-IT"/>
        </w:rPr>
        <w:t>;</w:t>
      </w:r>
    </w:p>
    <w:p w14:paraId="1D52863B" w14:textId="71BE3EA2" w:rsidR="00861C11" w:rsidRDefault="00BC470B" w:rsidP="009C0C48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861C11">
        <w:rPr>
          <w:rFonts w:eastAsia="Times New Roman" w:cstheme="minorHAnsi"/>
          <w:lang w:eastAsia="it-IT"/>
        </w:rPr>
        <w:t>Le merci varie passano da</w:t>
      </w:r>
      <w:r w:rsidR="009C0C48" w:rsidRPr="00861C11">
        <w:rPr>
          <w:rFonts w:eastAsia="Times New Roman" w:cstheme="minorHAnsi"/>
          <w:lang w:eastAsia="it-IT"/>
        </w:rPr>
        <w:t xml:space="preserve"> 4.2 milioni </w:t>
      </w:r>
      <w:r w:rsidRPr="00861C11">
        <w:rPr>
          <w:rFonts w:eastAsia="Times New Roman" w:cstheme="minorHAnsi"/>
          <w:lang w:eastAsia="it-IT"/>
        </w:rPr>
        <w:t xml:space="preserve">di tonnellate a settembre </w:t>
      </w:r>
      <w:r w:rsidR="009C0C48" w:rsidRPr="00861C11">
        <w:rPr>
          <w:rFonts w:eastAsia="Times New Roman" w:cstheme="minorHAnsi"/>
          <w:lang w:eastAsia="it-IT"/>
        </w:rPr>
        <w:t>2019 (</w:t>
      </w:r>
      <w:r w:rsidRPr="00861C11">
        <w:rPr>
          <w:rFonts w:eastAsia="Times New Roman" w:cstheme="minorHAnsi"/>
          <w:lang w:eastAsia="it-IT"/>
        </w:rPr>
        <w:t xml:space="preserve">solo </w:t>
      </w:r>
      <w:r w:rsidR="009C0C48" w:rsidRPr="00861C11">
        <w:rPr>
          <w:rFonts w:eastAsia="Times New Roman" w:cstheme="minorHAnsi"/>
          <w:lang w:eastAsia="it-IT"/>
        </w:rPr>
        <w:t xml:space="preserve">4.0 </w:t>
      </w:r>
      <w:r w:rsidRPr="00861C11">
        <w:rPr>
          <w:rFonts w:eastAsia="Times New Roman" w:cstheme="minorHAnsi"/>
          <w:lang w:eastAsia="it-IT"/>
        </w:rPr>
        <w:t xml:space="preserve">stesso periodo </w:t>
      </w:r>
      <w:r w:rsidR="009C0C48" w:rsidRPr="00861C11">
        <w:rPr>
          <w:rFonts w:eastAsia="Times New Roman" w:cstheme="minorHAnsi"/>
          <w:lang w:eastAsia="it-IT"/>
        </w:rPr>
        <w:t>del 2020) a</w:t>
      </w:r>
      <w:r w:rsidRPr="00861C11">
        <w:rPr>
          <w:rFonts w:eastAsia="Times New Roman" w:cstheme="minorHAnsi"/>
          <w:lang w:eastAsia="it-IT"/>
        </w:rPr>
        <w:t xml:space="preserve"> ben 5,6 milioni di tonnellate a settembre 2021. Qui il </w:t>
      </w:r>
      <w:r w:rsidR="00A72E9B">
        <w:rPr>
          <w:rFonts w:eastAsia="Times New Roman" w:cstheme="minorHAnsi"/>
          <w:lang w:eastAsia="it-IT"/>
        </w:rPr>
        <w:t>dato positivo</w:t>
      </w:r>
      <w:r w:rsidRPr="00861C11">
        <w:rPr>
          <w:rFonts w:eastAsia="Times New Roman" w:cstheme="minorHAnsi"/>
          <w:lang w:eastAsia="it-IT"/>
        </w:rPr>
        <w:t xml:space="preserve"> sul 2019 è da attribuirsi </w:t>
      </w:r>
      <w:r w:rsidR="00861C11">
        <w:rPr>
          <w:rFonts w:eastAsia="Times New Roman" w:cstheme="minorHAnsi"/>
          <w:lang w:eastAsia="it-IT"/>
        </w:rPr>
        <w:t xml:space="preserve">sostanzialmente </w:t>
      </w:r>
      <w:r w:rsidRPr="00861C11">
        <w:rPr>
          <w:rFonts w:eastAsia="Times New Roman" w:cstheme="minorHAnsi"/>
          <w:lang w:eastAsia="it-IT"/>
        </w:rPr>
        <w:t xml:space="preserve">a Vado </w:t>
      </w:r>
      <w:r w:rsidR="009C0C48" w:rsidRPr="00861C11">
        <w:rPr>
          <w:rFonts w:eastAsia="Times New Roman" w:cstheme="minorHAnsi"/>
          <w:lang w:eastAsia="it-IT"/>
        </w:rPr>
        <w:t>Gateway</w:t>
      </w:r>
      <w:r w:rsidR="00861C11">
        <w:rPr>
          <w:rFonts w:eastAsia="Times New Roman" w:cstheme="minorHAnsi"/>
          <w:lang w:eastAsia="it-IT"/>
        </w:rPr>
        <w:t>,</w:t>
      </w:r>
      <w:r w:rsidR="009C0C48" w:rsidRPr="00861C11">
        <w:rPr>
          <w:rFonts w:eastAsia="Times New Roman" w:cstheme="minorHAnsi"/>
          <w:lang w:eastAsia="it-IT"/>
        </w:rPr>
        <w:t xml:space="preserve"> che passa da</w:t>
      </w:r>
      <w:r w:rsidR="00A72E9B">
        <w:rPr>
          <w:rFonts w:eastAsia="Times New Roman" w:cstheme="minorHAnsi"/>
          <w:lang w:eastAsia="it-IT"/>
        </w:rPr>
        <w:t>lle</w:t>
      </w:r>
      <w:r w:rsidR="009C0C48" w:rsidRPr="00861C11">
        <w:rPr>
          <w:rFonts w:eastAsia="Times New Roman" w:cstheme="minorHAnsi"/>
          <w:lang w:eastAsia="it-IT"/>
        </w:rPr>
        <w:t xml:space="preserve"> 383.000 tonnellate </w:t>
      </w:r>
      <w:r w:rsidRPr="00861C11">
        <w:rPr>
          <w:rFonts w:eastAsia="Times New Roman" w:cstheme="minorHAnsi"/>
          <w:lang w:eastAsia="it-IT"/>
        </w:rPr>
        <w:t xml:space="preserve">del settembre 2019 </w:t>
      </w:r>
      <w:r w:rsidR="009C0C48" w:rsidRPr="00861C11">
        <w:rPr>
          <w:rFonts w:eastAsia="Times New Roman" w:cstheme="minorHAnsi"/>
          <w:lang w:eastAsia="it-IT"/>
        </w:rPr>
        <w:t>a</w:t>
      </w:r>
      <w:r w:rsidR="00861C11">
        <w:rPr>
          <w:rFonts w:eastAsia="Times New Roman" w:cstheme="minorHAnsi"/>
          <w:lang w:eastAsia="it-IT"/>
        </w:rPr>
        <w:t>lle</w:t>
      </w:r>
      <w:r w:rsidR="009C0C48" w:rsidRPr="00861C11">
        <w:rPr>
          <w:rFonts w:eastAsia="Times New Roman" w:cstheme="minorHAnsi"/>
          <w:lang w:eastAsia="it-IT"/>
        </w:rPr>
        <w:t xml:space="preserve"> 1.900.000</w:t>
      </w:r>
      <w:r w:rsidR="00861C11">
        <w:rPr>
          <w:rFonts w:eastAsia="Times New Roman" w:cstheme="minorHAnsi"/>
          <w:lang w:eastAsia="it-IT"/>
        </w:rPr>
        <w:t xml:space="preserve"> tonnellate</w:t>
      </w:r>
      <w:r w:rsidR="009C0C48" w:rsidRPr="00861C11">
        <w:rPr>
          <w:rFonts w:eastAsia="Times New Roman" w:cstheme="minorHAnsi"/>
          <w:lang w:eastAsia="it-IT"/>
        </w:rPr>
        <w:t xml:space="preserve"> del settembre 2021</w:t>
      </w:r>
      <w:r w:rsidRPr="00861C11">
        <w:rPr>
          <w:rFonts w:eastAsia="Times New Roman" w:cstheme="minorHAnsi"/>
          <w:lang w:eastAsia="it-IT"/>
        </w:rPr>
        <w:t xml:space="preserve">. </w:t>
      </w:r>
    </w:p>
    <w:p w14:paraId="55EB282A" w14:textId="77777777" w:rsidR="002225D6" w:rsidRDefault="00BC470B" w:rsidP="000D1837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861C11">
        <w:rPr>
          <w:rFonts w:eastAsia="Times New Roman" w:cstheme="minorHAnsi"/>
          <w:lang w:eastAsia="it-IT"/>
        </w:rPr>
        <w:t>Contestualmente, i rotabili crescono di oltre 700.000 tonnellate sul 2019, passando da 2,5 a 3,2 milioni di tonnellate, ritornando sugli stessi livelli del 2019.</w:t>
      </w:r>
    </w:p>
    <w:p w14:paraId="12A68D4B" w14:textId="5E3F18A6" w:rsidR="004D0620" w:rsidRPr="002225D6" w:rsidRDefault="009C0C48" w:rsidP="000D1837">
      <w:pPr>
        <w:pStyle w:val="Paragrafoelenco"/>
        <w:numPr>
          <w:ilvl w:val="0"/>
          <w:numId w:val="6"/>
        </w:num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2225D6">
        <w:rPr>
          <w:rFonts w:eastAsia="Times New Roman" w:cstheme="minorHAnsi"/>
          <w:lang w:eastAsia="it-IT"/>
        </w:rPr>
        <w:t>Resta profondamente critico</w:t>
      </w:r>
      <w:r w:rsidR="00427D37" w:rsidRPr="002225D6">
        <w:rPr>
          <w:rFonts w:eastAsia="Times New Roman" w:cstheme="minorHAnsi"/>
          <w:lang w:eastAsia="it-IT"/>
        </w:rPr>
        <w:t>, per il prolungarsi della pandemia,</w:t>
      </w:r>
      <w:r w:rsidR="00BC470B" w:rsidRPr="002225D6">
        <w:rPr>
          <w:rFonts w:eastAsia="Times New Roman" w:cstheme="minorHAnsi"/>
          <w:lang w:eastAsia="it-IT"/>
        </w:rPr>
        <w:t xml:space="preserve"> </w:t>
      </w:r>
      <w:r w:rsidRPr="002225D6">
        <w:rPr>
          <w:rFonts w:eastAsia="Times New Roman" w:cstheme="minorHAnsi"/>
          <w:lang w:eastAsia="it-IT"/>
        </w:rPr>
        <w:t xml:space="preserve">il settore passeggeri </w:t>
      </w:r>
      <w:r w:rsidR="00427D37" w:rsidRPr="002225D6">
        <w:rPr>
          <w:rFonts w:eastAsia="Times New Roman" w:cstheme="minorHAnsi"/>
          <w:lang w:eastAsia="it-IT"/>
        </w:rPr>
        <w:t xml:space="preserve">(traghetti </w:t>
      </w:r>
      <w:r w:rsidRPr="002225D6">
        <w:rPr>
          <w:rFonts w:eastAsia="Times New Roman" w:cstheme="minorHAnsi"/>
          <w:lang w:eastAsia="it-IT"/>
        </w:rPr>
        <w:t xml:space="preserve">e </w:t>
      </w:r>
      <w:r w:rsidR="00427D37" w:rsidRPr="002225D6">
        <w:rPr>
          <w:rFonts w:eastAsia="Times New Roman" w:cstheme="minorHAnsi"/>
          <w:lang w:eastAsia="it-IT"/>
        </w:rPr>
        <w:t xml:space="preserve">in particolare </w:t>
      </w:r>
      <w:r w:rsidRPr="002225D6">
        <w:rPr>
          <w:rFonts w:eastAsia="Times New Roman" w:cstheme="minorHAnsi"/>
          <w:lang w:eastAsia="it-IT"/>
        </w:rPr>
        <w:t>crociere</w:t>
      </w:r>
      <w:r w:rsidR="00427D37" w:rsidRPr="002225D6">
        <w:rPr>
          <w:rFonts w:eastAsia="Times New Roman" w:cstheme="minorHAnsi"/>
          <w:lang w:eastAsia="it-IT"/>
        </w:rPr>
        <w:t>)</w:t>
      </w:r>
      <w:r w:rsidRPr="002225D6">
        <w:rPr>
          <w:rFonts w:eastAsia="Times New Roman" w:cstheme="minorHAnsi"/>
          <w:lang w:eastAsia="it-IT"/>
        </w:rPr>
        <w:t xml:space="preserve">, che passa da 811.000 </w:t>
      </w:r>
      <w:r w:rsidR="002225D6">
        <w:rPr>
          <w:rFonts w:eastAsia="Times New Roman" w:cstheme="minorHAnsi"/>
          <w:lang w:eastAsia="it-IT"/>
        </w:rPr>
        <w:t xml:space="preserve">passeggeri </w:t>
      </w:r>
      <w:r w:rsidR="00427D37" w:rsidRPr="002225D6">
        <w:rPr>
          <w:rFonts w:eastAsia="Times New Roman" w:cstheme="minorHAnsi"/>
          <w:lang w:eastAsia="it-IT"/>
        </w:rPr>
        <w:t xml:space="preserve">del 2019 </w:t>
      </w:r>
      <w:r w:rsidRPr="002225D6">
        <w:rPr>
          <w:rFonts w:eastAsia="Times New Roman" w:cstheme="minorHAnsi"/>
          <w:lang w:eastAsia="it-IT"/>
        </w:rPr>
        <w:t>a circa 300.000</w:t>
      </w:r>
      <w:r w:rsidR="00427D37" w:rsidRPr="002225D6">
        <w:rPr>
          <w:rFonts w:eastAsia="Times New Roman" w:cstheme="minorHAnsi"/>
          <w:lang w:eastAsia="it-IT"/>
        </w:rPr>
        <w:t xml:space="preserve"> </w:t>
      </w:r>
      <w:r w:rsidR="002225D6">
        <w:rPr>
          <w:rFonts w:eastAsia="Times New Roman" w:cstheme="minorHAnsi"/>
          <w:lang w:eastAsia="it-IT"/>
        </w:rPr>
        <w:t xml:space="preserve">passeggeri </w:t>
      </w:r>
      <w:r w:rsidR="00427D37" w:rsidRPr="002225D6">
        <w:rPr>
          <w:rFonts w:eastAsia="Times New Roman" w:cstheme="minorHAnsi"/>
          <w:lang w:eastAsia="it-IT"/>
        </w:rPr>
        <w:t>del 2021</w:t>
      </w:r>
      <w:r w:rsidRPr="002225D6">
        <w:rPr>
          <w:rFonts w:eastAsia="Times New Roman" w:cstheme="minorHAnsi"/>
          <w:lang w:eastAsia="it-IT"/>
        </w:rPr>
        <w:t xml:space="preserve">, seppure recuperando 100.000 passeggeri rispetto al 2020. </w:t>
      </w:r>
    </w:p>
    <w:sectPr w:rsidR="004D0620" w:rsidRPr="002225D6" w:rsidSect="0027136F">
      <w:footerReference w:type="default" r:id="rId13"/>
      <w:pgSz w:w="16838" w:h="11906" w:orient="landscape" w:code="9"/>
      <w:pgMar w:top="851" w:right="1418" w:bottom="851" w:left="1134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3D6D7" w14:textId="77777777" w:rsidR="00522A79" w:rsidRDefault="00522A79" w:rsidP="008E38D1">
      <w:pPr>
        <w:spacing w:after="0" w:line="240" w:lineRule="auto"/>
      </w:pPr>
      <w:r>
        <w:separator/>
      </w:r>
    </w:p>
  </w:endnote>
  <w:endnote w:type="continuationSeparator" w:id="0">
    <w:p w14:paraId="6EF13626" w14:textId="77777777" w:rsidR="00522A79" w:rsidRDefault="00522A79" w:rsidP="008E3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59E60" w14:textId="334790CE" w:rsidR="008E38D1" w:rsidRPr="00817261" w:rsidRDefault="008E38D1" w:rsidP="00817261">
    <w:pPr>
      <w:pStyle w:val="Intestazione"/>
      <w:pBdr>
        <w:top w:val="single" w:sz="6" w:space="10" w:color="4472C4" w:themeColor="accent1"/>
      </w:pBdr>
      <w:spacing w:before="240"/>
      <w:jc w:val="center"/>
      <w:rPr>
        <w:color w:val="4472C4" w:themeColor="accent1"/>
      </w:rPr>
    </w:pPr>
    <w:r>
      <w:rPr>
        <w:noProof/>
        <w:color w:val="4472C4" w:themeColor="accent1"/>
      </w:rPr>
      <w:drawing>
        <wp:inline distT="0" distB="0" distL="0" distR="0" wp14:anchorId="71E15AF6" wp14:editId="0898BA81">
          <wp:extent cx="407963" cy="407963"/>
          <wp:effectExtent l="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410332" cy="4103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4472C4" w:themeColor="accent1"/>
      </w:rPr>
      <w:t>Unione Industriali Savona – Conferenza stampa del 21 dicembre 2021 -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947E7" w14:textId="77777777" w:rsidR="00522A79" w:rsidRDefault="00522A79" w:rsidP="008E38D1">
      <w:pPr>
        <w:spacing w:after="0" w:line="240" w:lineRule="auto"/>
      </w:pPr>
      <w:r>
        <w:separator/>
      </w:r>
    </w:p>
  </w:footnote>
  <w:footnote w:type="continuationSeparator" w:id="0">
    <w:p w14:paraId="04B0DD01" w14:textId="77777777" w:rsidR="00522A79" w:rsidRDefault="00522A79" w:rsidP="008E38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137B0"/>
    <w:multiLevelType w:val="hybridMultilevel"/>
    <w:tmpl w:val="A10A7E1A"/>
    <w:lvl w:ilvl="0" w:tplc="32C88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D07CD"/>
    <w:multiLevelType w:val="hybridMultilevel"/>
    <w:tmpl w:val="197E489A"/>
    <w:lvl w:ilvl="0" w:tplc="2E7210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263B6"/>
    <w:multiLevelType w:val="hybridMultilevel"/>
    <w:tmpl w:val="025A78B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027B75"/>
    <w:multiLevelType w:val="hybridMultilevel"/>
    <w:tmpl w:val="CA3E5CCE"/>
    <w:lvl w:ilvl="0" w:tplc="078C0A56">
      <w:start w:val="1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63DCA"/>
    <w:multiLevelType w:val="hybridMultilevel"/>
    <w:tmpl w:val="951606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001064"/>
    <w:multiLevelType w:val="hybridMultilevel"/>
    <w:tmpl w:val="7396DC04"/>
    <w:lvl w:ilvl="0" w:tplc="D952A8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1C6"/>
    <w:rsid w:val="00000F91"/>
    <w:rsid w:val="00013251"/>
    <w:rsid w:val="00026F02"/>
    <w:rsid w:val="000523BE"/>
    <w:rsid w:val="000B69AE"/>
    <w:rsid w:val="000D1837"/>
    <w:rsid w:val="000D753D"/>
    <w:rsid w:val="00115D59"/>
    <w:rsid w:val="00146AA5"/>
    <w:rsid w:val="00177AE2"/>
    <w:rsid w:val="00195CB4"/>
    <w:rsid w:val="002225D6"/>
    <w:rsid w:val="002311C6"/>
    <w:rsid w:val="0027136F"/>
    <w:rsid w:val="00280555"/>
    <w:rsid w:val="00283150"/>
    <w:rsid w:val="002A66B7"/>
    <w:rsid w:val="002C24C7"/>
    <w:rsid w:val="00304F7A"/>
    <w:rsid w:val="00331C81"/>
    <w:rsid w:val="0035120F"/>
    <w:rsid w:val="00365F0A"/>
    <w:rsid w:val="00382E61"/>
    <w:rsid w:val="003C3180"/>
    <w:rsid w:val="0042739D"/>
    <w:rsid w:val="00427D37"/>
    <w:rsid w:val="004D0620"/>
    <w:rsid w:val="004E7375"/>
    <w:rsid w:val="00522A79"/>
    <w:rsid w:val="00535631"/>
    <w:rsid w:val="005B2AF8"/>
    <w:rsid w:val="00620EE6"/>
    <w:rsid w:val="0065587E"/>
    <w:rsid w:val="00692511"/>
    <w:rsid w:val="006A636A"/>
    <w:rsid w:val="006E33C8"/>
    <w:rsid w:val="007350FF"/>
    <w:rsid w:val="00757537"/>
    <w:rsid w:val="00780740"/>
    <w:rsid w:val="00795724"/>
    <w:rsid w:val="007C12C5"/>
    <w:rsid w:val="007C433E"/>
    <w:rsid w:val="007C4F51"/>
    <w:rsid w:val="007D1347"/>
    <w:rsid w:val="00804275"/>
    <w:rsid w:val="00817261"/>
    <w:rsid w:val="00820F5D"/>
    <w:rsid w:val="00822FE6"/>
    <w:rsid w:val="0085183D"/>
    <w:rsid w:val="00861C11"/>
    <w:rsid w:val="008A5D90"/>
    <w:rsid w:val="008E38D1"/>
    <w:rsid w:val="00943D6D"/>
    <w:rsid w:val="009566A5"/>
    <w:rsid w:val="009C0C48"/>
    <w:rsid w:val="009E59DD"/>
    <w:rsid w:val="00A34EC3"/>
    <w:rsid w:val="00A61429"/>
    <w:rsid w:val="00A72E9B"/>
    <w:rsid w:val="00A96C75"/>
    <w:rsid w:val="00AD19B7"/>
    <w:rsid w:val="00B544BA"/>
    <w:rsid w:val="00B54681"/>
    <w:rsid w:val="00BC470B"/>
    <w:rsid w:val="00CA487A"/>
    <w:rsid w:val="00CF43BF"/>
    <w:rsid w:val="00D058C3"/>
    <w:rsid w:val="00D13435"/>
    <w:rsid w:val="00D54A85"/>
    <w:rsid w:val="00D571A3"/>
    <w:rsid w:val="00D776CE"/>
    <w:rsid w:val="00D83F2F"/>
    <w:rsid w:val="00D90F98"/>
    <w:rsid w:val="00D97EB5"/>
    <w:rsid w:val="00DA679C"/>
    <w:rsid w:val="00DB537F"/>
    <w:rsid w:val="00DC3F43"/>
    <w:rsid w:val="00DF0B2D"/>
    <w:rsid w:val="00E01893"/>
    <w:rsid w:val="00E54C09"/>
    <w:rsid w:val="00E671A0"/>
    <w:rsid w:val="00E756AB"/>
    <w:rsid w:val="00EC4E29"/>
    <w:rsid w:val="00F136EC"/>
    <w:rsid w:val="00F278DE"/>
    <w:rsid w:val="00F61519"/>
    <w:rsid w:val="00F66204"/>
    <w:rsid w:val="00F9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6EE5B"/>
  <w15:chartTrackingRefBased/>
  <w15:docId w15:val="{024649D2-8BF8-458B-9770-780078FF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5D9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31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E38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38D1"/>
  </w:style>
  <w:style w:type="paragraph" w:styleId="Pidipagina">
    <w:name w:val="footer"/>
    <w:basedOn w:val="Normale"/>
    <w:link w:val="PidipaginaCarattere"/>
    <w:uiPriority w:val="99"/>
    <w:unhideWhenUsed/>
    <w:rsid w:val="008E38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3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hart" Target="charts/chart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/>
              <a:t>Industria e</a:t>
            </a:r>
            <a:r>
              <a:rPr lang="it-IT" baseline="0"/>
              <a:t> costruzioni</a:t>
            </a:r>
            <a:endParaRPr lang="it-IT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'INDUSTRIA+COSTRUZIONI'!$E$3</c:f>
              <c:strCache>
                <c:ptCount val="1"/>
                <c:pt idx="0">
                  <c:v>dipendenti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'INDUSTRIA+COSTRUZIONI'!$D$4:$D$12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2103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'INDUSTRIA+COSTRUZIONI'!$E$4:$E$12</c:f>
              <c:numCache>
                <c:formatCode>General</c:formatCode>
                <c:ptCount val="9"/>
                <c:pt idx="0">
                  <c:v>14</c:v>
                </c:pt>
                <c:pt idx="1">
                  <c:v>14</c:v>
                </c:pt>
                <c:pt idx="2">
                  <c:v>14</c:v>
                </c:pt>
                <c:pt idx="3">
                  <c:v>12</c:v>
                </c:pt>
                <c:pt idx="4">
                  <c:v>14</c:v>
                </c:pt>
                <c:pt idx="5">
                  <c:v>15</c:v>
                </c:pt>
                <c:pt idx="6">
                  <c:v>17</c:v>
                </c:pt>
                <c:pt idx="7">
                  <c:v>18</c:v>
                </c:pt>
                <c:pt idx="8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DD-4FC0-9842-0973337D0B6B}"/>
            </c:ext>
          </c:extLst>
        </c:ser>
        <c:ser>
          <c:idx val="1"/>
          <c:order val="1"/>
          <c:tx>
            <c:strRef>
              <c:f>'INDUSTRIA+COSTRUZIONI'!$F$3</c:f>
              <c:strCache>
                <c:ptCount val="1"/>
                <c:pt idx="0">
                  <c:v>indipendenti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'INDUSTRIA+COSTRUZIONI'!$D$4:$D$12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2103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'INDUSTRIA+COSTRUZIONI'!$F$4:$F$12</c:f>
              <c:numCache>
                <c:formatCode>General</c:formatCode>
                <c:ptCount val="9"/>
                <c:pt idx="0">
                  <c:v>7</c:v>
                </c:pt>
                <c:pt idx="1">
                  <c:v>6</c:v>
                </c:pt>
                <c:pt idx="2">
                  <c:v>8</c:v>
                </c:pt>
                <c:pt idx="3">
                  <c:v>8</c:v>
                </c:pt>
                <c:pt idx="4">
                  <c:v>6</c:v>
                </c:pt>
                <c:pt idx="5">
                  <c:v>6</c:v>
                </c:pt>
                <c:pt idx="6">
                  <c:v>8</c:v>
                </c:pt>
                <c:pt idx="7">
                  <c:v>7</c:v>
                </c:pt>
                <c:pt idx="8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DD-4FC0-9842-0973337D0B6B}"/>
            </c:ext>
          </c:extLst>
        </c:ser>
        <c:ser>
          <c:idx val="2"/>
          <c:order val="2"/>
          <c:tx>
            <c:strRef>
              <c:f>'INDUSTRIA+COSTRUZIONI'!$G$3</c:f>
              <c:strCache>
                <c:ptCount val="1"/>
                <c:pt idx="0">
                  <c:v>totale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'INDUSTRIA+COSTRUZIONI'!$D$4:$D$12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2103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'INDUSTRIA+COSTRUZIONI'!$G$4:$G$12</c:f>
              <c:numCache>
                <c:formatCode>General</c:formatCode>
                <c:ptCount val="9"/>
                <c:pt idx="0">
                  <c:v>21</c:v>
                </c:pt>
                <c:pt idx="1">
                  <c:v>21</c:v>
                </c:pt>
                <c:pt idx="2">
                  <c:v>22</c:v>
                </c:pt>
                <c:pt idx="3">
                  <c:v>21</c:v>
                </c:pt>
                <c:pt idx="4">
                  <c:v>19</c:v>
                </c:pt>
                <c:pt idx="5">
                  <c:v>22</c:v>
                </c:pt>
                <c:pt idx="6">
                  <c:v>25</c:v>
                </c:pt>
                <c:pt idx="7">
                  <c:v>25</c:v>
                </c:pt>
                <c:pt idx="8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8DD-4FC0-9842-0973337D0B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74860208"/>
        <c:axId val="774857912"/>
      </c:barChart>
      <c:catAx>
        <c:axId val="7748602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774857912"/>
        <c:crosses val="autoZero"/>
        <c:auto val="1"/>
        <c:lblAlgn val="ctr"/>
        <c:lblOffset val="100"/>
        <c:noMultiLvlLbl val="0"/>
      </c:catAx>
      <c:valAx>
        <c:axId val="774857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774860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/>
              <a:t>Industria in senso stretto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'INDUSTRIA PURA'!$E$3</c:f>
              <c:strCache>
                <c:ptCount val="1"/>
                <c:pt idx="0">
                  <c:v>dipendenti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'INDUSTRIA PURA'!$D$4:$D$12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 PURA'!$E$4:$E$12</c:f>
              <c:numCache>
                <c:formatCode>General</c:formatCode>
                <c:ptCount val="9"/>
                <c:pt idx="0">
                  <c:v>9</c:v>
                </c:pt>
                <c:pt idx="1">
                  <c:v>11</c:v>
                </c:pt>
                <c:pt idx="2">
                  <c:v>11</c:v>
                </c:pt>
                <c:pt idx="3">
                  <c:v>9</c:v>
                </c:pt>
                <c:pt idx="4">
                  <c:v>9</c:v>
                </c:pt>
                <c:pt idx="5">
                  <c:v>11</c:v>
                </c:pt>
                <c:pt idx="6">
                  <c:v>13</c:v>
                </c:pt>
                <c:pt idx="7">
                  <c:v>16</c:v>
                </c:pt>
                <c:pt idx="8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57-4DF6-BE2E-227FB6F342B2}"/>
            </c:ext>
          </c:extLst>
        </c:ser>
        <c:ser>
          <c:idx val="1"/>
          <c:order val="1"/>
          <c:tx>
            <c:strRef>
              <c:f>'INDUSTRIA PURA'!$F$3</c:f>
              <c:strCache>
                <c:ptCount val="1"/>
                <c:pt idx="0">
                  <c:v>indipendenti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'INDUSTRIA PURA'!$D$4:$D$12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 PURA'!$F$4:$F$12</c:f>
              <c:numCache>
                <c:formatCode>General</c:formatCode>
                <c:ptCount val="9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2</c:v>
                </c:pt>
                <c:pt idx="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B57-4DF6-BE2E-227FB6F342B2}"/>
            </c:ext>
          </c:extLst>
        </c:ser>
        <c:ser>
          <c:idx val="2"/>
          <c:order val="2"/>
          <c:tx>
            <c:strRef>
              <c:f>'INDUSTRIA PURA'!$G$3</c:f>
              <c:strCache>
                <c:ptCount val="1"/>
                <c:pt idx="0">
                  <c:v>totale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'INDUSTRIA PURA'!$D$4:$D$12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'INDUSTRIA PURA'!$G$4:$G$12</c:f>
              <c:numCache>
                <c:formatCode>General</c:formatCode>
                <c:ptCount val="9"/>
                <c:pt idx="0">
                  <c:v>11</c:v>
                </c:pt>
                <c:pt idx="1">
                  <c:v>13</c:v>
                </c:pt>
                <c:pt idx="2">
                  <c:v>13</c:v>
                </c:pt>
                <c:pt idx="3">
                  <c:v>11</c:v>
                </c:pt>
                <c:pt idx="4">
                  <c:v>10</c:v>
                </c:pt>
                <c:pt idx="5">
                  <c:v>13</c:v>
                </c:pt>
                <c:pt idx="6">
                  <c:v>16</c:v>
                </c:pt>
                <c:pt idx="7">
                  <c:v>18</c:v>
                </c:pt>
                <c:pt idx="8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B57-4DF6-BE2E-227FB6F342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50768672"/>
        <c:axId val="850769328"/>
      </c:barChart>
      <c:catAx>
        <c:axId val="850768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50769328"/>
        <c:crosses val="autoZero"/>
        <c:auto val="1"/>
        <c:lblAlgn val="ctr"/>
        <c:lblOffset val="100"/>
        <c:noMultiLvlLbl val="0"/>
      </c:catAx>
      <c:valAx>
        <c:axId val="850769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50768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/>
              <a:t>Servizi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'SERVIZI TOTALI'!$E$3</c:f>
              <c:strCache>
                <c:ptCount val="1"/>
                <c:pt idx="0">
                  <c:v>dipendenti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'SERVIZI TOTALI'!$D$4:$D$12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'SERVIZI TOTALI'!$E$4:$E$12</c:f>
              <c:numCache>
                <c:formatCode>General</c:formatCode>
                <c:ptCount val="9"/>
                <c:pt idx="0">
                  <c:v>54</c:v>
                </c:pt>
                <c:pt idx="1">
                  <c:v>54</c:v>
                </c:pt>
                <c:pt idx="2">
                  <c:v>56</c:v>
                </c:pt>
                <c:pt idx="3">
                  <c:v>56</c:v>
                </c:pt>
                <c:pt idx="4">
                  <c:v>57</c:v>
                </c:pt>
                <c:pt idx="5">
                  <c:v>56</c:v>
                </c:pt>
                <c:pt idx="6">
                  <c:v>53</c:v>
                </c:pt>
                <c:pt idx="7">
                  <c:v>55</c:v>
                </c:pt>
                <c:pt idx="8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11-4E7A-B9B6-035859BF0145}"/>
            </c:ext>
          </c:extLst>
        </c:ser>
        <c:ser>
          <c:idx val="1"/>
          <c:order val="1"/>
          <c:tx>
            <c:strRef>
              <c:f>'SERVIZI TOTALI'!$F$3</c:f>
              <c:strCache>
                <c:ptCount val="1"/>
                <c:pt idx="0">
                  <c:v>indipendenti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'SERVIZI TOTALI'!$D$4:$D$12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'SERVIZI TOTALI'!$F$4:$F$12</c:f>
              <c:numCache>
                <c:formatCode>General</c:formatCode>
                <c:ptCount val="9"/>
                <c:pt idx="0">
                  <c:v>30</c:v>
                </c:pt>
                <c:pt idx="1">
                  <c:v>28</c:v>
                </c:pt>
                <c:pt idx="2">
                  <c:v>26</c:v>
                </c:pt>
                <c:pt idx="3">
                  <c:v>26</c:v>
                </c:pt>
                <c:pt idx="4">
                  <c:v>31</c:v>
                </c:pt>
                <c:pt idx="5">
                  <c:v>30</c:v>
                </c:pt>
                <c:pt idx="6">
                  <c:v>29</c:v>
                </c:pt>
                <c:pt idx="7">
                  <c:v>26</c:v>
                </c:pt>
                <c:pt idx="8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11-4E7A-B9B6-035859BF0145}"/>
            </c:ext>
          </c:extLst>
        </c:ser>
        <c:ser>
          <c:idx val="2"/>
          <c:order val="2"/>
          <c:tx>
            <c:strRef>
              <c:f>'SERVIZI TOTALI'!$G$3</c:f>
              <c:strCache>
                <c:ptCount val="1"/>
                <c:pt idx="0">
                  <c:v>totali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'SERVIZI TOTALI'!$D$4:$D$12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'SERVIZI TOTALI'!$G$4:$G$12</c:f>
              <c:numCache>
                <c:formatCode>General</c:formatCode>
                <c:ptCount val="9"/>
                <c:pt idx="0">
                  <c:v>84</c:v>
                </c:pt>
                <c:pt idx="1">
                  <c:v>82</c:v>
                </c:pt>
                <c:pt idx="2">
                  <c:v>82</c:v>
                </c:pt>
                <c:pt idx="3">
                  <c:v>82</c:v>
                </c:pt>
                <c:pt idx="4">
                  <c:v>88</c:v>
                </c:pt>
                <c:pt idx="5">
                  <c:v>86</c:v>
                </c:pt>
                <c:pt idx="6">
                  <c:v>82</c:v>
                </c:pt>
                <c:pt idx="7">
                  <c:v>81</c:v>
                </c:pt>
                <c:pt idx="8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211-4E7A-B9B6-035859BF01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7673496"/>
        <c:axId val="887672184"/>
      </c:barChart>
      <c:catAx>
        <c:axId val="887673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87672184"/>
        <c:crosses val="autoZero"/>
        <c:auto val="1"/>
        <c:lblAlgn val="ctr"/>
        <c:lblOffset val="100"/>
        <c:noMultiLvlLbl val="0"/>
      </c:catAx>
      <c:valAx>
        <c:axId val="887672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87673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/>
              <a:t>Commercio, alberghi, bar e ristorazione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'COMM+ALB+RISTOR'!$D$3</c:f>
              <c:strCache>
                <c:ptCount val="1"/>
                <c:pt idx="0">
                  <c:v>dipendenti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'COMM+ALB+RISTOR'!$C$4:$C$12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'COMM+ALB+RISTOR'!$D$4:$D$12</c:f>
              <c:numCache>
                <c:formatCode>General</c:formatCode>
                <c:ptCount val="9"/>
                <c:pt idx="0">
                  <c:v>15</c:v>
                </c:pt>
                <c:pt idx="1">
                  <c:v>15</c:v>
                </c:pt>
                <c:pt idx="2">
                  <c:v>15</c:v>
                </c:pt>
                <c:pt idx="3">
                  <c:v>14</c:v>
                </c:pt>
                <c:pt idx="4">
                  <c:v>16</c:v>
                </c:pt>
                <c:pt idx="5">
                  <c:v>17</c:v>
                </c:pt>
                <c:pt idx="6">
                  <c:v>16</c:v>
                </c:pt>
                <c:pt idx="7">
                  <c:v>15</c:v>
                </c:pt>
                <c:pt idx="8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68F-44F4-B7C5-0A04F463D1D3}"/>
            </c:ext>
          </c:extLst>
        </c:ser>
        <c:ser>
          <c:idx val="1"/>
          <c:order val="1"/>
          <c:tx>
            <c:strRef>
              <c:f>'COMM+ALB+RISTOR'!$E$3</c:f>
              <c:strCache>
                <c:ptCount val="1"/>
                <c:pt idx="0">
                  <c:v>indipendenti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'COMM+ALB+RISTOR'!$C$4:$C$12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'COMM+ALB+RISTOR'!$E$4:$E$12</c:f>
              <c:numCache>
                <c:formatCode>General</c:formatCode>
                <c:ptCount val="9"/>
                <c:pt idx="0">
                  <c:v>15</c:v>
                </c:pt>
                <c:pt idx="1">
                  <c:v>15</c:v>
                </c:pt>
                <c:pt idx="2">
                  <c:v>13</c:v>
                </c:pt>
                <c:pt idx="3">
                  <c:v>14</c:v>
                </c:pt>
                <c:pt idx="4">
                  <c:v>17</c:v>
                </c:pt>
                <c:pt idx="5">
                  <c:v>16</c:v>
                </c:pt>
                <c:pt idx="6">
                  <c:v>14</c:v>
                </c:pt>
                <c:pt idx="7">
                  <c:v>12</c:v>
                </c:pt>
                <c:pt idx="8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68F-44F4-B7C5-0A04F463D1D3}"/>
            </c:ext>
          </c:extLst>
        </c:ser>
        <c:ser>
          <c:idx val="2"/>
          <c:order val="2"/>
          <c:tx>
            <c:strRef>
              <c:f>'COMM+ALB+RISTOR'!$F$3</c:f>
              <c:strCache>
                <c:ptCount val="1"/>
                <c:pt idx="0">
                  <c:v>totale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'COMM+ALB+RISTOR'!$C$4:$C$12</c:f>
              <c:numCache>
                <c:formatCode>General</c:formatCode>
                <c:ptCount val="9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</c:numCache>
            </c:numRef>
          </c:cat>
          <c:val>
            <c:numRef>
              <c:f>'COMM+ALB+RISTOR'!$F$4:$F$12</c:f>
              <c:numCache>
                <c:formatCode>General</c:formatCode>
                <c:ptCount val="9"/>
                <c:pt idx="0">
                  <c:v>30</c:v>
                </c:pt>
                <c:pt idx="1">
                  <c:v>30</c:v>
                </c:pt>
                <c:pt idx="2">
                  <c:v>28</c:v>
                </c:pt>
                <c:pt idx="3">
                  <c:v>28</c:v>
                </c:pt>
                <c:pt idx="4">
                  <c:v>33</c:v>
                </c:pt>
                <c:pt idx="5">
                  <c:v>33</c:v>
                </c:pt>
                <c:pt idx="6">
                  <c:v>30</c:v>
                </c:pt>
                <c:pt idx="7">
                  <c:v>27</c:v>
                </c:pt>
                <c:pt idx="8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68F-44F4-B7C5-0A04F463D1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59385824"/>
        <c:axId val="859388120"/>
      </c:barChart>
      <c:catAx>
        <c:axId val="859385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59388120"/>
        <c:crosses val="autoZero"/>
        <c:auto val="1"/>
        <c:lblAlgn val="ctr"/>
        <c:lblOffset val="100"/>
        <c:noMultiLvlLbl val="0"/>
      </c:catAx>
      <c:valAx>
        <c:axId val="859388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59385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2738</Words>
  <Characters>15612</Characters>
  <Application>Microsoft Office Word</Application>
  <DocSecurity>0</DocSecurity>
  <Lines>130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Berta</dc:creator>
  <cp:keywords/>
  <dc:description/>
  <cp:lastModifiedBy>Alessandro Berta</cp:lastModifiedBy>
  <cp:revision>18</cp:revision>
  <cp:lastPrinted>2021-12-20T10:35:00Z</cp:lastPrinted>
  <dcterms:created xsi:type="dcterms:W3CDTF">2021-12-20T13:33:00Z</dcterms:created>
  <dcterms:modified xsi:type="dcterms:W3CDTF">2021-12-20T14:54:00Z</dcterms:modified>
</cp:coreProperties>
</file>